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Властивості та спосіб використання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оштукатурювання всіх видів кладочних матеріалів, особливо цегляних підкладок, газобетону та бетонної арматури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при ремонті та додатковому утепленні можна наносити безпосередньо на крупнозернисту штукатурку бризоліт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обмеження витоку тепла з об'єкта за рахунок теплового опору конструкції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обмеження витоку тепла з будівлі за рахунок теплових містків у стінах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не перешкоджає видаленню вологи з кладки завдяки коефіцієнту опору дифузії водяної пари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механічне та ручне оштукатурювання у зовнішніх та внутрішніх середовищах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Композиція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Портландцемент, мінеральні наповнювачі, легкі наповнювачі, хімічні добавки.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Технічні параметри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Теплоізоляційна штукатурка для зовнішньої штукатурки (T) згідно EN 998-1: 2003, категорія CSI, W2, T1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наноситься вручну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Міцність на стиск (категорія CS I)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МПа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Об'ємна маса затверділого розчину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кг/м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Адгезія - метод відриву (B)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МПа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Коефіцієнт теплопровідності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Коефіцієнт опору дифузії водяної пари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(EN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Час обробки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хв.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Реакція на вогонь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Інформативний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наноситься вручну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Зернистість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Кількість води для змішування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л/кг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Виходить шаром 10 мм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кг/м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Рекомендована максимальна товщина нанесення одного шару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 товщина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За статичною оцінкою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Мінімальна температура основи, повітря і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Теплоізоляційна штукатурка для зовнішньої штукатурки (T) згідно EN 998-1: 2003, категорія CSI, W2, T1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наноситься машинним способом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Міцність на стиск (категорія CS I)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МПа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Об'ємна маса затверділого розчину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кг/м3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Адгезія - метод відриву (B)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МПа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Коефіцієнт теплопровідності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Коефіцієнт опору дифузії водяної пари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(EN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Час обробки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хв.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Реакція на вогонь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Інформативний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застосована машина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Зернистість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Кількість води для змішування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За типом штукатурної машини л / кг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Виходить шаром 10 мм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кг/м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 товщина нанесення одного шару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мм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Максимальна товщина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За статичною оцінкою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Мінімальна температура основи, повітря і штукатурки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ПРИМІТКА: Технічні параметри визначаються за нормальних умов (20 ± 2) °C та (65 ± 5) °C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Підготовка фону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Основа має бути міцною та несучою, очищеною від пилу, залишків фарби, вапна та жиру. Не має бути водовідштовхувальним. У випадку, якщо на нинішній основі було нанесено накривне покриття в минулому, його необхідно механічно видалити до початкової штукатурки або навіть до нижньої кладки. Для видалення таких шарів підходять машинки для подряпування з відповідними дисками. У разі пошкоджених, пухких шарів основи необхідно нанести армуючий вапняно-цементний або цементний армуючий шар і пенетраційне покриття. Кладка повинна бути досить витриманою, без змін в об’ємі.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Вбираючі основи перед нанесенням необхідно заґрунтувати - FixPlus / StuccoPrimer. </w:t>
      </w:r>
      <w:r>
        <w:rPr>
          <w:color w:val="666666"/>
          <w:sz w:val="16"/>
          <w:szCs w:val="16"/>
          <w:lang w:val="sk-SK" w:eastAsia="en-US" w:bidi="ar-SA"/>
        </w:rPr>
        <w:t>Щоб зберегти рівність фасаду, ми рекомендуємо завжди наносити штукатурку між штукатурними стрічками.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Обробка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а) Ручне нанесення </w:t>
      </w:r>
      <w:r>
        <w:rPr>
          <w:color w:val="5E5E5E"/>
          <w:sz w:val="16"/>
          <w:szCs w:val="16"/>
          <w:lang w:val="sk-SK" w:eastAsia="en-US" w:bidi="ar-SA"/>
        </w:rPr>
        <w:t>- Штукатурку розмішують у встановленій кількості води для замішування ручним міксером протягом не менше 4 хвилин до стану однорідної консистенції без грудок. Дайте суміші розчину постояти 5 хвилин, а потім знову ретельно перемішайте. Не змішуйте в крапельному міксері!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ВАЖЛИВО! </w:t>
      </w:r>
      <w:r>
        <w:rPr>
          <w:color w:val="5E5E5E"/>
          <w:sz w:val="16"/>
          <w:lang w:val="sk-SK" w:eastAsia="en-US" w:bidi="ar-SA"/>
        </w:rPr>
        <w:t>Для забезпечення однорідної консистенції розчину під час нанесення необхідно використовувати весь вміст мішка. Рекомендується, щоб при нанесенні штукатурки на більшу площу завжди змішували принаймні 3 мішки штукатурки у відповідній ємності, яку ви починаєте наносити на стіну. У той момент, коли в ємності залишиться приблизно остання третина розчину, вмішайте ще два мішки штукатурки і знову перемішайте суміш з водою до однорідної консистенції. Часткове використання вмісту пакета не допускається. Показником правильно приготовленого розчину є його рівномірна щільність без грудок і здатність триматися на перевернутій металевій кельмі або ложці.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Під час нанесення виправляємо штукатурку пластиковою кельмою. Штукатурка IsoTex R70 має ефект «баранчика» з товщиною зерна до 2 мм. Через 48 годин рекомендується нанести пенетрацію під покриття FixPlus, а потім нанести покриття ThermoShield®.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b) Машинне нанесення </w:t>
      </w:r>
      <w:r>
        <w:rPr>
          <w:color w:val="5E5E5E"/>
          <w:sz w:val="16"/>
          <w:lang w:val="sk-SK" w:eastAsia="en-US" w:bidi="ar-SA"/>
        </w:rPr>
        <w:t>- Для нанесення теплоізоляційних штукатурок при використанні штукатурних машин із інтегрованою зоною змішування застосовуються наступні налаштування: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Насадка: немає.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Висота водяного стовпа: 400-500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УВАГА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EN 13914-1 поширюється на проектування, підготовку та впровадження зовнішньої штукатурки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Додаткове додавання в’яжучих речовин, наповнювачів та інших інгредієнтів або просіювання через суміш не допускається.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 xml:space="preserve">Обробляти суміш можна тільки </w:t>
      </w:r>
      <w:r>
        <w:rPr>
          <w:b/>
          <w:bCs/>
          <w:color w:val="C9211E"/>
          <w:sz w:val="16"/>
          <w:lang w:val="sk-SK" w:eastAsia="en-US" w:bidi="ar-SA"/>
        </w:rPr>
        <w:t xml:space="preserve">при температурі повітря і основи від +8°C до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°C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Не використовувати при очікуванні заморозків!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Для змішування суміші слід використовувати питну воду або воду, що відповідає EN1008.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Утилізація виробу: помістіть використану упаковку на авторизоване сміттєзвалище. Дайте невикористаному матеріалу затвердіти та відправте його на міське сміттєзвалище. Власна підготовка - код відходів 101311 Відходи з інших змішаних матеріалів, не зазначених під номерами 101309 і 101310. Затверділий матеріал - код відходів 170904 Змішані відходи будівництва та знесення, не зазначені під номерами 170901, 170902 і 170903.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Перша допомога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У разі проблем зі здоров'ям або у разі сумнівів повідомте лікаря.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У разі вдихання вивести постраждалого на свіже повітря, у разі утруднення дихання викликати медичну допомогу.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У разі потрапляння на шкіру промийте шкіру чистою водою з милом. Обробіть роздратовані ділянки відновлюючим кремом.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У разі потрапляння в очі негайно промийте відкриті повіки струменем чистої води протягом 15 хвилин. а потім зверніться за медичною допомогою.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ковтанні прополоскати рот водою, випити 0,5 л води та звернутися за медичною допомогою. Не викликати блювоту.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При попаданні на шкіру препарат може викликати алергічну реакцію. Якщо симптоми будь-якого впливу (подразнення), викликаного контактом із продуктом, не зникають після надання першої допомоги, зверніться до лікаря.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Зберігати в недоступному для дітей місці!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техніки безпеки та гігієни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Сигнальне слово: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Небезпека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Подразнює шкіру.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Викликає серйозне пошкодження очей.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Може викликати подразнення дихальних шляхів.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Якщо потрібна медична допомога, майте під рукою контейнер або етикетку виробника.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Зберігати в недоступному для дітей місці.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Уникати вдихання пилу.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Використовуйте захисні рукавички / захисний одяг / захисні окуляри / щиток для обличчя.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У РАЗІ ПОПАДАННЯ В ОЧІ: Обережно промийте водою протягом кількох хвилин. Зніміть контактні лінзи, якщо ви носите, і зніміть їх, якщо можливо. Продовжуйте полоскання.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Негайно зателефонуйте в ТОКСИКОЛОГІЧНИЙ ЦЕНТР або до лікаря.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ПРИ ПОПАДАННІ НА ШКІРУ: промити великою кількістю води з милом. У разі подразнення шкіри або висипу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Зверніться за медичною допомогою.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У РАЗІ ВДИХАННЯ: виведіть людину на свіже повітря та помістіть її в положення, яке полегшує дихання.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Якщо ви почуваєтесь погано, зверніться до ТОКСИКОЛОГІЧНОГО ЦЕНТРУ або до лікаря.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Утилізуйте вміст / упаковку в пункті збору, призначеному відповідно до місцевих правил.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Зберігання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Зберігайте продукт у сухому місці в оригінальній упаковці - захищайте від пошкоджень, впливу води та високої відносної вологості. При дотриманні зазначених умов термін придатності становить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місяців з дати, зазначеної на упаковці.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Експедиція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Суха суміш доставляється в паперових мішках на піддонах, покритих плівкою.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зроблено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в ЄС для SICC Coatings GmbH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Термін дії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З 01.06.2020р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Оскільки використання та обробка продукту не є предметом нашого прямого впливу, ми не несемо відповідальності за збитки, спричинені його неправильним використанням. Ми залишаємо за собою право вносити зміни в результаті технічного прогресу.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ТМ IsoTex | Стенд 26.03.2020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Технічний паспорт: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uk-UA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uk-UA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1096</Words>
  <Characters>6744</Characters>
  <CharactersWithSpaces>7739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2025-06-13T11:26:38Z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