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Vlastnosti a spôsob použitia</w:t>
      </w:r>
    </w:p>
    <w:p>
      <w:pPr>
        <w:pStyle w:val="Telotextu"/>
        <w:spacing w:before="0" w:after="80"/>
        <w:jc w:val="both"/>
        <w:rPr>
          <w:lang w:val="sk-SK" w:eastAsia="en-US" w:bidi="ar-SA"/>
        </w:rPr>
      </w:pPr>
      <w:r>
        <w:rPr>
          <w:color w:val="5E5E5E"/>
          <w:lang w:val="sk-SK" w:eastAsia="en-US" w:bidi="ar-SA"/>
        </w:rPr>
        <w:t xml:space="preserve">• </w:t>
      </w:r>
      <w:r>
        <w:rPr>
          <w:color w:val="5E5E5E"/>
          <w:sz w:val="16"/>
          <w:lang w:val="sk-SK" w:eastAsia="en-US" w:bidi="ar-SA"/>
        </w:rPr>
        <w:t>omietanie všetkých druhov murovacích materiálov, predovšetkým tehlových podkladov, pórobetónu a betónových tvaroviek</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pri renovácii a dodatočnom zateplení možno aplikovať priamo na hrubozrnné omietky typu brizolit</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obmedzenie úniku tepla z objektu vplyvom tepelného odporu konštrukcie</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obmedzenie úniku tepla z objektu vplyvom tepelných mostov v stenách</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nebráni odvedenie vlhkosti z muriva vplyvom faktoru difúzneho odporu vodnej pary</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strojné i ručné omietanie vo vonkajšom i vnútornom prostredí</w:t>
      </w:r>
    </w:p>
    <w:p>
      <w:pPr>
        <w:pStyle w:val="Telotextu"/>
        <w:spacing w:before="0" w:after="80"/>
        <w:ind w:left="125" w:hanging="0"/>
        <w:jc w:val="both"/>
        <w:rPr>
          <w:color w:val="5E5E5E"/>
        </w:rPr>
      </w:pPr>
      <w:r>
        <w:rPr>
          <w:color w:val="5E5E5E"/>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 xml:space="preserve">Zloženie  </w:t>
      </w:r>
    </w:p>
    <w:p>
      <w:pPr>
        <w:pStyle w:val="Telotextu"/>
        <w:spacing w:before="0" w:after="80"/>
        <w:ind w:left="0" w:right="57" w:hanging="0"/>
        <w:rPr>
          <w:rFonts w:ascii="Arial Narrow" w:hAnsi="Arial Narrow"/>
          <w:color w:val="5E5E5E"/>
          <w:spacing w:val="-1"/>
          <w:sz w:val="16"/>
          <w:lang w:val="sk-SK" w:eastAsia="en-US" w:bidi="ar-SA"/>
        </w:rPr>
      </w:pPr>
      <w:r>
        <w:rPr>
          <w:color w:val="5E5E5E"/>
          <w:spacing w:val="-1"/>
          <w:sz w:val="16"/>
          <w:lang w:val="sk-SK" w:eastAsia="en-US" w:bidi="ar-SA"/>
        </w:rPr>
        <w:t>Portlandský cement, minerálne plnivá, ľahčená plnivá, chemické prísady.</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Technické parametre</w:t>
      </w:r>
    </w:p>
    <w:tbl>
      <w:tblPr>
        <w:tblW w:w="3148" w:type="dxa"/>
        <w:jc w:val="left"/>
        <w:tblInd w:w="0" w:type="dxa"/>
        <w:tblLayout w:type="fixed"/>
        <w:tblCellMar>
          <w:top w:w="0" w:type="dxa"/>
          <w:left w:w="119" w:type="dxa"/>
          <w:bottom w:w="0" w:type="dxa"/>
          <w:right w:w="108" w:type="dxa"/>
        </w:tblCellMar>
        <w:tblLook w:val="04a0"/>
      </w:tblPr>
      <w:tblGrid>
        <w:gridCol w:w="820"/>
        <w:gridCol w:w="651"/>
        <w:gridCol w:w="1104"/>
        <w:gridCol w:w="572"/>
      </w:tblGrid>
      <w:tr>
        <w:trPr/>
        <w:tc>
          <w:tcPr>
            <w:tcW w:w="3147" w:type="dxa"/>
            <w:gridSpan w:val="4"/>
            <w:tcBorders>
              <w:top w:val="single" w:sz="2" w:space="0" w:color="808080"/>
              <w:left w:val="single" w:sz="2" w:space="0" w:color="808080"/>
              <w:bottom w:val="single" w:sz="2" w:space="0" w:color="808080"/>
              <w:right w:val="single" w:sz="2" w:space="0" w:color="808080"/>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Tepelnoizolačné omietka pre vonkajšiu omietku (T) podľa EN 998-1: 2003, kategória CSI, W2, T1</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nanášaná ručne</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Pevnosť v tlaku (kategória CS I)</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Objemová hmotnosť zatvrdnutej malty</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400-410 kg/m</w:t>
            </w:r>
            <w:r>
              <w:rPr>
                <w:rFonts w:cs="Arial" w:ascii="Arial Narrow" w:hAnsi="Arial Narrow"/>
                <w:color w:val="666666"/>
                <w:sz w:val="16"/>
                <w:szCs w:val="16"/>
                <w:vertAlign w:val="superscript"/>
                <w:lang w:val="sk-SK" w:eastAsia="en-US" w:bidi="ar-SA"/>
              </w:rPr>
              <w:t>3</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Prídržnosť - spôsob odtrhu (B)</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Súčiniteľ tepelnej vodivosti λ</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Faktor difúzneho odporu vodnej pary μ</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8 (EN 1745)</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Doba spracovateľnosti</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Reakcia na oheň</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Telotextu"/>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Informatívne</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nanášaná ručne</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Zrnitosť</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Množstvo zámesovej vody</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0,5-0,55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Výdatnosť pri vrstve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4,0-4,5 kg/m</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Odporúčaná maximálna hrúbka nanášania jednej vrstvy</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Maximálna hrúbka omietky</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Podľa statického posúdenia</w:t>
            </w:r>
          </w:p>
        </w:tc>
      </w:tr>
      <w:tr>
        <w:trPr>
          <w:trHeight w:val="404" w:hRule="atLeast"/>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Minimálna teplota podkladu a vzduchu a omietky</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800"/>
        <w:gridCol w:w="665"/>
        <w:gridCol w:w="1053"/>
        <w:gridCol w:w="581"/>
      </w:tblGrid>
      <w:tr>
        <w:trPr/>
        <w:tc>
          <w:tcPr>
            <w:tcW w:w="3099" w:type="dxa"/>
            <w:gridSpan w:val="4"/>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Tepelnoizolačné omietka pre vonkajšiu omietku (T) podľa EN 998-1: 2003, kategória CSI, W2, T1</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nanášaná strojovo</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Pevnosť v tlaku (kategória CS I) </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Objemová hmotnosť zatvrdnutej malty</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350 - 400 kg/m3</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Prídržnosť - spôsob odtrhu (B)</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Súčiniteľ tepelnej vodivosti λ</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Faktor difúzneho odporu vodnej pary μ</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&lt;8(EN 174)</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Doba spracovateľnosti</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Reakcia na oheň</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Informatívne</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nanášaná strojne</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Zrnitosť</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Množstvo zámesovej vody</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Podľa typu omietacích stroja l / 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Výdatnosť pri vrstve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4,2 kg/m</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Maximálna hrúbka nanášania jednej vrstvy</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Maximálna hrúbka omietky</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 xml:space="preserve"> </w:t>
            </w:r>
            <w:r>
              <w:rPr>
                <w:rFonts w:cs="Arial" w:ascii="Arial Narrow" w:hAnsi="Arial Narrow"/>
                <w:color w:val="666666"/>
                <w:sz w:val="16"/>
                <w:szCs w:val="16"/>
                <w:lang w:val="sk-SK" w:eastAsia="en-US" w:bidi="ar-SA"/>
              </w:rPr>
              <w:t>Podľa statického posúdenia</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Minimálna teplota podkladu a vzduchu a omietky</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sz w:val="16"/>
          <w:szCs w:val="16"/>
          <w:lang w:val="sk-SK" w:eastAsia="en-US" w:bidi="ar-SA"/>
        </w:rPr>
      </w:pPr>
      <w:r>
        <w:rPr>
          <w:color w:val="5E5E5E"/>
          <w:sz w:val="16"/>
          <w:szCs w:val="16"/>
          <w:lang w:val="sk-SK" w:eastAsia="en-US" w:bidi="ar-SA"/>
        </w:rPr>
      </w:r>
    </w:p>
    <w:p>
      <w:pPr>
        <w:pStyle w:val="Normal"/>
        <w:spacing w:before="0" w:after="80"/>
        <w:ind w:left="0" w:right="57" w:hanging="0"/>
        <w:rPr>
          <w:rFonts w:ascii="Arial Narrow" w:hAnsi="Arial Narrow"/>
          <w:color w:val="5E5E5E"/>
          <w:sz w:val="16"/>
          <w:lang w:val="sk-SK" w:eastAsia="en-US" w:bidi="ar-SA"/>
        </w:rPr>
      </w:pPr>
      <w:r>
        <w:rPr>
          <w:rFonts w:ascii="Arial Narrow" w:hAnsi="Arial Narrow"/>
          <w:color w:val="5E5E5E"/>
          <w:sz w:val="16"/>
          <w:szCs w:val="16"/>
          <w:lang w:val="sk-SK" w:eastAsia="en-US" w:bidi="ar-SA"/>
        </w:rPr>
        <w:t>POZN.: Technické parametre sú stanovené pri normálnych podmienkach (20 ± 2) °C a (65 ± 5) °C</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Príprava podkladu</w:t>
      </w:r>
    </w:p>
    <w:p>
      <w:pPr>
        <w:pStyle w:val="Telotextu"/>
        <w:spacing w:before="0" w:after="0"/>
        <w:ind w:left="0" w:right="57" w:hanging="0"/>
        <w:jc w:val="both"/>
        <w:rPr>
          <w:lang w:val="sk-SK" w:eastAsia="en-US" w:bidi="ar-SA"/>
        </w:rPr>
      </w:pPr>
      <w:r>
        <w:rPr>
          <w:color w:val="666666"/>
          <w:sz w:val="16"/>
          <w:szCs w:val="16"/>
          <w:lang w:val="sk-SK" w:eastAsia="en-US" w:bidi="ar-SA"/>
        </w:rPr>
        <w:t xml:space="preserve">Podklad musí byť pevný a nosný, zbavený prachu, zvyškov maľby, vápna a tukov. Nesmie byť vodeodpudivý. V prípade, že bol súčasný podklad v minulosti opatrený krycím náterom, je nutné ho mechanicky odstrániť na pôvodnú omietku, prípadne až na podkladovú murivo. Pre odstránenie takých to vrstiev sú vhodné drásací stroje s príslušnými aplikačnými kotúčmi. U narušených, drobivých podkladových vrstiev je nutné aplikovať spevňujúci vápenocementovou, prípadne cementovou spevňujúce vrstvu a penetračný náter. Murivo musí byť dostatočne vyzreté, bez objemových zmien. </w:t>
      </w:r>
      <w:r>
        <w:rPr>
          <w:b/>
          <w:color w:val="666666"/>
          <w:sz w:val="16"/>
          <w:szCs w:val="16"/>
          <w:lang w:val="sk-SK" w:eastAsia="en-US" w:bidi="ar-SA"/>
        </w:rPr>
        <w:t xml:space="preserve">Savé podklady je nutné pred aplikáciou napenetrovať - FixPlus / StuccoPrimer. </w:t>
      </w:r>
      <w:r>
        <w:rPr>
          <w:color w:val="666666"/>
          <w:sz w:val="16"/>
          <w:szCs w:val="16"/>
          <w:lang w:val="sk-SK" w:eastAsia="en-US" w:bidi="ar-SA"/>
        </w:rPr>
        <w:t>Vzhľadom k dodržanie rovinnosti fasády odporúčame omietku nanášať vždy medzi omietkové lišty.</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Spracovanie</w:t>
      </w:r>
    </w:p>
    <w:p>
      <w:pPr>
        <w:pStyle w:val="Telotextu"/>
        <w:spacing w:before="0" w:after="80"/>
        <w:ind w:left="0" w:right="57" w:hanging="0"/>
        <w:jc w:val="both"/>
        <w:rPr>
          <w:lang w:val="sk-SK" w:eastAsia="en-US" w:bidi="ar-SA"/>
        </w:rPr>
      </w:pPr>
      <w:r>
        <w:rPr>
          <w:b/>
          <w:color w:val="5E5E5E"/>
          <w:sz w:val="16"/>
          <w:szCs w:val="16"/>
          <w:lang w:val="sk-SK" w:eastAsia="en-US" w:bidi="ar-SA"/>
        </w:rPr>
        <w:t xml:space="preserve">a) Ručné nanášanie </w:t>
      </w:r>
      <w:r>
        <w:rPr>
          <w:color w:val="5E5E5E"/>
          <w:sz w:val="16"/>
          <w:szCs w:val="16"/>
          <w:lang w:val="sk-SK" w:eastAsia="en-US" w:bidi="ar-SA"/>
        </w:rPr>
        <w:t>- Omietka sa rozmieša v predpísanom množstve zámesovej vody pomocou ručného miešadla po dobu minimálne 4 minúty, do stavu homogénnej konzistencie, bez hrudiek. Maltovú zmes nechať stáť po dobu 5 minút, a potom znovu dôkladne premiešať. Nemiešať v spádovej miešačke!</w:t>
      </w:r>
    </w:p>
    <w:p>
      <w:pPr>
        <w:pStyle w:val="Telotextu"/>
        <w:widowControl w:val="false"/>
        <w:suppressAutoHyphens w:val="false"/>
        <w:bidi w:val="0"/>
        <w:spacing w:lineRule="auto" w:line="240" w:before="0" w:after="80"/>
        <w:ind w:left="0" w:right="57" w:hanging="0"/>
        <w:jc w:val="both"/>
        <w:rPr>
          <w:lang w:val="sk-SK" w:eastAsia="en-US" w:bidi="ar-SA"/>
        </w:rPr>
      </w:pPr>
      <w:r>
        <w:rPr>
          <w:b/>
          <w:color w:val="5E5E5E"/>
          <w:sz w:val="16"/>
          <w:lang w:val="sk-SK" w:eastAsia="en-US" w:bidi="ar-SA"/>
        </w:rPr>
        <w:t xml:space="preserve">DÔLEŽITÉ! </w:t>
      </w:r>
      <w:r>
        <w:rPr>
          <w:color w:val="5E5E5E"/>
          <w:sz w:val="16"/>
          <w:lang w:val="sk-SK" w:eastAsia="en-US" w:bidi="ar-SA"/>
        </w:rPr>
        <w:t>Pre zaistenie homogénnej konzistencie malty počas aplikácie je nutné používať celý obsah vreca. Je doporučené pri aplikácii omietky na väčšiu plochu vždy rozmiešať vo vhodnej nádobe minimálne 3 vrecia omietky, ktorú začneme aplikovať na stenu. V okamihu, keď v nádobe zostáva cca posledná tretina malty, opäť vmiešame ďalšie dve vrecia omietky as vodou rozmiešame zmes opäť na homogénnu konzistenciu. Nie je prípustné čiastočné používanie obsahu vreca. Ukazovateľom riadne pripravené malty je jej jednotná hustota bez hrudiek a jej schopnosť udržať sa na obrátenom kovovom hladítku alebo lyžicu.</w:t>
      </w:r>
      <w:r>
        <w:rPr>
          <w:color w:val="5E5E5E"/>
          <w:lang w:val="sk-SK" w:eastAsia="en-US" w:bidi="ar-SA"/>
        </w:rPr>
        <w:t>   </w:t>
      </w:r>
    </w:p>
    <w:p>
      <w:pPr>
        <w:pStyle w:val="Telotextu"/>
        <w:widowControl w:val="false"/>
        <w:suppressAutoHyphens w:val="false"/>
        <w:bidi w:val="0"/>
        <w:spacing w:lineRule="auto" w:line="240" w:before="0" w:after="80"/>
        <w:ind w:left="0" w:right="57" w:hanging="0"/>
        <w:jc w:val="both"/>
        <w:rPr>
          <w:lang w:val="sk-SK" w:eastAsia="en-US" w:bidi="ar-SA"/>
        </w:rPr>
      </w:pPr>
      <w:r>
        <w:rPr>
          <w:color w:val="5E5E5E"/>
          <w:sz w:val="16"/>
          <w:lang w:val="sk-SK" w:eastAsia="en-US" w:bidi="ar-SA"/>
        </w:rPr>
        <w:t>V priebehu aplikácie upravíme omietku plastovým hladidlom. Omietka IsoTex R70 má efekt "baránok" sa zrnom hrúbkou do 2mm. Za 48 hodín sa odporúča aplikovať penetráciu pod náter FixPlus a následne aplikovať náter ThermoShield®.</w:t>
      </w:r>
      <w:r>
        <w:rPr>
          <w:color w:val="5E5E5E"/>
          <w:lang w:val="sk-SK" w:eastAsia="en-US" w:bidi="ar-SA"/>
        </w:rPr>
        <w:t> </w:t>
      </w:r>
    </w:p>
    <w:p>
      <w:pPr>
        <w:pStyle w:val="Telotextu"/>
        <w:widowControl w:val="false"/>
        <w:suppressAutoHyphens w:val="false"/>
        <w:bidi w:val="0"/>
        <w:spacing w:lineRule="auto" w:line="240" w:before="0" w:after="80"/>
        <w:ind w:left="0" w:right="57" w:hanging="0"/>
        <w:jc w:val="both"/>
        <w:rPr>
          <w:lang w:val="sk-SK" w:eastAsia="en-US" w:bidi="ar-SA"/>
        </w:rPr>
      </w:pPr>
      <w:r>
        <w:rPr>
          <w:b/>
          <w:color w:val="5E5E5E"/>
          <w:sz w:val="16"/>
          <w:lang w:val="sk-SK" w:eastAsia="en-US" w:bidi="ar-SA"/>
        </w:rPr>
        <w:t xml:space="preserve">b) Strojové nanášanie </w:t>
      </w:r>
      <w:r>
        <w:rPr>
          <w:color w:val="5E5E5E"/>
          <w:sz w:val="16"/>
          <w:lang w:val="sk-SK" w:eastAsia="en-US" w:bidi="ar-SA"/>
        </w:rPr>
        <w:t>- Pre nanášanie tepelnoizolačných omietok pri použití omietacích strojov s integrovanou miešajúca zónou platia nasledujúce nastavenia:</w:t>
      </w:r>
      <w:r>
        <w:rPr>
          <w:color w:val="5E5E5E"/>
          <w:lang w:val="sk-SK" w:eastAsia="en-US" w:bidi="ar-SA"/>
        </w:rPr>
        <w:t>  </w:t>
      </w:r>
    </w:p>
    <w:p>
      <w:pPr>
        <w:pStyle w:val="Telotextu"/>
        <w:spacing w:before="0" w:after="80"/>
        <w:ind w:left="0" w:right="57" w:hanging="0"/>
        <w:jc w:val="both"/>
        <w:rPr>
          <w:lang w:val="sk-SK" w:eastAsia="en-US" w:bidi="ar-SA"/>
        </w:rPr>
      </w:pPr>
      <w:r>
        <w:rPr>
          <w:color w:val="5E5E5E"/>
          <w:sz w:val="16"/>
          <w:szCs w:val="16"/>
          <w:lang w:val="sk-SK" w:eastAsia="en-US" w:bidi="ar-SA"/>
        </w:rPr>
        <w:t xml:space="preserve">• </w:t>
      </w:r>
      <w:r>
        <w:rPr>
          <w:color w:val="5E5E5E"/>
          <w:sz w:val="16"/>
          <w:szCs w:val="16"/>
          <w:lang w:val="sk-SK" w:eastAsia="en-US" w:bidi="ar-SA"/>
        </w:rPr>
        <w:t xml:space="preserve">Tryska: č. 16  </w:t>
      </w:r>
    </w:p>
    <w:p>
      <w:pPr>
        <w:pStyle w:val="Telotextu"/>
        <w:widowControl w:val="false"/>
        <w:suppressAutoHyphens w:val="false"/>
        <w:bidi w:val="0"/>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Výška vodného stĺpca: 400-500</w:t>
      </w:r>
    </w:p>
    <w:p>
      <w:pPr>
        <w:pStyle w:val="Telotextu"/>
        <w:widowControl w:val="false"/>
        <w:suppressAutoHyphens w:val="false"/>
        <w:bidi w:val="0"/>
        <w:spacing w:lineRule="auto" w:line="240" w:before="0" w:after="80"/>
        <w:ind w:left="0" w:right="57" w:hanging="0"/>
        <w:jc w:val="both"/>
        <w:rPr>
          <w:color w:val="C9211E"/>
        </w:rPr>
      </w:pPr>
      <w:r>
        <w:rPr>
          <w:b/>
          <w:bCs/>
          <w:color w:val="C9211E"/>
          <w:sz w:val="16"/>
          <w:lang w:val="sk-SK" w:eastAsia="en-US" w:bidi="ar-SA"/>
        </w:rPr>
        <w:t>UPOZORNENIE</w:t>
      </w:r>
      <w:r>
        <w:rPr>
          <w:color w:val="C9211E"/>
          <w:sz w:val="16"/>
          <w:lang w:val="sk-SK" w:eastAsia="en-US" w:bidi="ar-SA"/>
        </w:rPr>
        <w:t>:</w:t>
      </w:r>
    </w:p>
    <w:p>
      <w:pPr>
        <w:pStyle w:val="Telotextu"/>
        <w:widowControl w:val="false"/>
        <w:suppressAutoHyphens w:val="false"/>
        <w:bidi w:val="0"/>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Pre navrhovanie, prípravu a realizáciu vonkajších omietok platí EN 13914-1</w:t>
      </w:r>
    </w:p>
    <w:p>
      <w:pPr>
        <w:pStyle w:val="Telotextu"/>
        <w:widowControl w:val="false"/>
        <w:suppressAutoHyphens w:val="false"/>
        <w:bidi w:val="0"/>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Dodatoční pridávanie spojív, plniva a iných prísad alebo preosievanie zmesou je neprípustné.</w:t>
      </w:r>
    </w:p>
    <w:p>
      <w:pPr>
        <w:pStyle w:val="Telotextu"/>
        <w:widowControl w:val="false"/>
        <w:suppressAutoHyphens w:val="false"/>
        <w:bidi w:val="0"/>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 xml:space="preserve">Zmes je možné spracovávať iba </w:t>
      </w:r>
      <w:r>
        <w:rPr>
          <w:b/>
          <w:bCs/>
          <w:color w:val="C9211E"/>
          <w:sz w:val="16"/>
          <w:lang w:val="sk-SK" w:eastAsia="en-US" w:bidi="ar-SA"/>
        </w:rPr>
        <w:t>pri teplote vzduchu a podkladu od +8°C do 25</w:t>
      </w:r>
      <w:r>
        <w:rPr>
          <w:rFonts w:eastAsia="Arial Narrow" w:cs=""/>
          <w:b/>
          <w:bCs/>
          <w:color w:val="C9211E"/>
          <w:kern w:val="0"/>
          <w:sz w:val="16"/>
          <w:szCs w:val="16"/>
          <w:lang w:val="sk-SK" w:eastAsia="en-US" w:bidi="ar-SA"/>
        </w:rPr>
        <w:t>°C</w:t>
      </w:r>
      <w:r>
        <w:rPr>
          <w:b/>
          <w:bCs/>
          <w:color w:val="C9211E"/>
          <w:sz w:val="16"/>
          <w:lang w:val="sk-SK" w:eastAsia="en-US" w:bidi="ar-SA"/>
        </w:rPr>
        <w:t xml:space="preserve"> !!!</w:t>
      </w:r>
      <w:r>
        <w:rPr>
          <w:color w:val="5E5E5E"/>
          <w:sz w:val="16"/>
          <w:lang w:val="sk-SK" w:eastAsia="en-US" w:bidi="ar-SA"/>
        </w:rPr>
        <w:t xml:space="preserve"> Pri očakávaných mrazoch nepoužívať!</w:t>
      </w:r>
    </w:p>
    <w:p>
      <w:pPr>
        <w:pStyle w:val="Telotextu"/>
        <w:widowControl w:val="false"/>
        <w:suppressAutoHyphens w:val="false"/>
        <w:bidi w:val="0"/>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K rozmiešanie zmesi je nutné použiť pitnú vodu alebo vodu zodpovedajúcu EN1008.</w:t>
      </w:r>
      <w:r>
        <w:rPr>
          <w:color w:val="5E5E5E"/>
          <w:lang w:val="sk-SK" w:eastAsia="en-US" w:bidi="ar-SA"/>
        </w:rPr>
        <w:t> </w:t>
      </w:r>
    </w:p>
    <w:p>
      <w:pPr>
        <w:pStyle w:val="Telotextu"/>
        <w:widowControl w:val="false"/>
        <w:suppressAutoHyphens w:val="false"/>
        <w:bidi w:val="0"/>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Likvidácia výrobku: Použité obaly uložte na povolenú skládku odpadov. Nespotrebovaný materiál nechajte vytvrdnúť a uložte na skládku komunálneho odpadu. Vlastný prípravok - kód odpadu 101311 Odpady z iných zmesných materiálov neuvedených pod číslami 101309 a 101310. Vytvrdnutá hmota - kód odpadu 170904 Zmesné stavebné a demoličné odpady neuvedené pod číslami 170901, 170902 a 170903.</w:t>
      </w:r>
      <w:r>
        <w:rPr>
          <w:color w:val="5E5E5E"/>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Prvá pomoc</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Ak sa prejavia zdravotné problémy alebo v prípade pochybností upovedomte lekára.</w:t>
      </w:r>
    </w:p>
    <w:p>
      <w:pPr>
        <w:pStyle w:val="Telotextu"/>
        <w:widowControl w:val="false"/>
        <w:suppressAutoHyphens w:val="false"/>
        <w:bidi w:val="0"/>
        <w:spacing w:lineRule="auto" w:line="240" w:before="0" w:after="192"/>
        <w:ind w:left="0" w:right="57" w:hanging="0"/>
        <w:jc w:val="both"/>
        <w:rPr>
          <w:lang w:val="sk-SK" w:eastAsia="en-US" w:bidi="ar-SA"/>
        </w:rPr>
      </w:pPr>
      <w:r>
        <w:rPr>
          <w:color w:val="5E5E5E"/>
          <w:sz w:val="16"/>
          <w:lang w:val="sk-SK" w:eastAsia="en-US" w:bidi="ar-SA"/>
        </w:rPr>
        <w:t>Pri nadýchaní premiestnite postihnutého na čerstvý vzduch, pri dychových ťažkostiach privolať lekársku pomoc.</w:t>
      </w:r>
    </w:p>
    <w:p>
      <w:pPr>
        <w:pStyle w:val="Telotextu"/>
        <w:spacing w:before="0" w:after="192"/>
        <w:ind w:left="0" w:right="57" w:hanging="0"/>
        <w:jc w:val="both"/>
        <w:rPr>
          <w:lang w:val="sk-SK" w:eastAsia="en-US" w:bidi="ar-SA"/>
        </w:rPr>
      </w:pPr>
      <w:r>
        <w:rPr>
          <w:color w:val="5E5E5E"/>
          <w:lang w:val="sk-SK" w:eastAsia="en-US" w:bidi="ar-SA"/>
        </w:rPr>
        <w:t>Pri styku s pokožkou pokožku umyte čistou vodou a mydlom. Podráždené miesta ošetrite reparačným krémom.</w:t>
      </w:r>
    </w:p>
    <w:p>
      <w:pPr>
        <w:sectPr>
          <w:headerReference w:type="default" r:id="rId2"/>
          <w:footerReference w:type="default" r:id="rId3"/>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Pri zasiahnutí očí, ihneď premývajte pri roztvorených očných viečkach prúdom čistej vody po dobu 15 min. a následne vyhľadajte lekársku pomoc.</w:t>
      </w:r>
    </w:p>
    <w:p>
      <w:pPr>
        <w:pStyle w:val="Telotextu"/>
        <w:widowControl w:val="false"/>
        <w:suppressAutoHyphens w:val="false"/>
        <w:bidi w:val="0"/>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Pri požití vypláchnite ústa vodou, vypite 0,5 litra vody a vyhľadať lekársku pomoc. Nevyvolávajte zvracanie.</w:t>
      </w:r>
    </w:p>
    <w:p>
      <w:pPr>
        <w:pStyle w:val="Telotextu"/>
        <w:widowControl w:val="false"/>
        <w:suppressAutoHyphens w:val="false"/>
        <w:bidi w:val="0"/>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Liek môže vyvolať alergickú reakciu pri kontakte s pokožkou. Pokiaľ príznaky akéhokoľvek zasiahnutia (podráždenia) vyvolaného kontaktom s výrobkom nepominú po poskytnutí prvej pomoci, vyhľadajte lekársku pomoc.</w:t>
      </w:r>
    </w:p>
    <w:p>
      <w:pPr>
        <w:pStyle w:val="Telotextu"/>
        <w:widowControl w:val="false"/>
        <w:suppressAutoHyphens w:val="false"/>
        <w:bidi w:val="0"/>
        <w:spacing w:lineRule="auto" w:line="240" w:before="0" w:after="192"/>
        <w:ind w:left="0" w:right="57" w:hanging="0"/>
        <w:jc w:val="both"/>
        <w:rPr>
          <w:lang w:val="sk-SK" w:eastAsia="en-US" w:bidi="ar-SA"/>
        </w:rPr>
      </w:pPr>
      <w:r>
        <w:rPr>
          <w:color w:val="5E5E5E"/>
          <w:sz w:val="16"/>
          <w:lang w:val="sk-SK" w:eastAsia="en-US" w:bidi="ar-SA"/>
        </w:rPr>
        <w:t>Skladujte mimo dosahu detí!</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Bezpečnosť a hygienické predpisy</w:t>
      </w:r>
    </w:p>
    <w:p>
      <w:pPr>
        <w:pStyle w:val="Telotextu"/>
        <w:spacing w:before="0" w:after="80"/>
        <w:ind w:left="6" w:right="57" w:hanging="6"/>
        <w:jc w:val="both"/>
        <w:rPr>
          <w:rFonts w:ascii="Arial Narrow" w:hAnsi="Arial Narrow"/>
          <w:color w:val="5E5E5E"/>
          <w:spacing w:val="-3"/>
          <w:sz w:val="16"/>
          <w:lang w:val="sk-SK" w:eastAsia="en-US" w:bidi="ar-SA"/>
        </w:rPr>
      </w:pPr>
      <w:r>
        <w:rPr/>
        <w:drawing>
          <wp:inline distT="0" distB="0" distL="0" distR="0">
            <wp:extent cx="622935" cy="622935"/>
            <wp:effectExtent l="0" t="0" r="0" b="0"/>
            <wp:docPr id="2"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1" descr=""/>
                    <pic:cNvPicPr>
                      <a:picLocks noChangeAspect="1" noChangeArrowheads="1"/>
                    </pic:cNvPicPr>
                  </pic:nvPicPr>
                  <pic:blipFill>
                    <a:blip r:embed="rId4"/>
                    <a:stretch>
                      <a:fillRect/>
                    </a:stretch>
                  </pic:blipFill>
                  <pic:spPr bwMode="auto">
                    <a:xfrm>
                      <a:off x="0" y="0"/>
                      <a:ext cx="622935" cy="622935"/>
                    </a:xfrm>
                    <a:prstGeom prst="rect">
                      <a:avLst/>
                    </a:prstGeom>
                  </pic:spPr>
                </pic:pic>
              </a:graphicData>
            </a:graphic>
          </wp:inline>
        </w:drawing>
      </w:r>
      <w:r>
        <w:rPr/>
        <w:drawing>
          <wp:inline distT="0" distB="0" distL="0" distR="0">
            <wp:extent cx="624205" cy="62420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5"/>
                    <a:stretch>
                      <a:fillRect/>
                    </a:stretch>
                  </pic:blipFill>
                  <pic:spPr bwMode="auto">
                    <a:xfrm>
                      <a:off x="0" y="0"/>
                      <a:ext cx="624205" cy="624205"/>
                    </a:xfrm>
                    <a:prstGeom prst="rect">
                      <a:avLst/>
                    </a:prstGeom>
                  </pic:spPr>
                </pic:pic>
              </a:graphicData>
            </a:graphic>
          </wp:inline>
        </w:drawing>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Signálne slovo: </w:t>
      </w:r>
      <w:r>
        <w:rPr>
          <w:rFonts w:ascii="Arial Narrow" w:hAnsi="Arial Narrow"/>
          <w:b/>
          <w:bCs/>
          <w:color w:val="5E5E5E"/>
          <w:sz w:val="16"/>
          <w:szCs w:val="16"/>
          <w:shd w:fill="auto" w:val="clear"/>
          <w:lang w:val="sk-SK"/>
        </w:rPr>
        <w:t>Nebezpečenstvo</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H315</w:t>
        <w:tab/>
        <w:t>Dráždi kožu.</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H318</w:t>
        <w:tab/>
        <w:t>Spôsobuje vážne poškodenie očí.</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H335</w:t>
        <w:tab/>
        <w:t>Môže spôsobiť podráždenie dýchacích ciest.</w:t>
      </w:r>
    </w:p>
    <w:p>
      <w:pPr>
        <w:pStyle w:val="Telotextu"/>
        <w:spacing w:before="0" w:after="80"/>
        <w:ind w:left="6" w:right="57" w:hanging="6"/>
        <w:jc w:val="both"/>
        <w:rPr>
          <w:color w:val="5E5E5E"/>
          <w:spacing w:val="-3"/>
          <w:sz w:val="12"/>
          <w:szCs w:val="12"/>
          <w:highlight w:val="none"/>
          <w:shd w:fill="auto" w:val="clear"/>
          <w:lang w:val="sk-SK"/>
        </w:rPr>
      </w:pPr>
      <w:r>
        <w:rPr>
          <w:color w:val="5E5E5E"/>
          <w:spacing w:val="-3"/>
          <w:sz w:val="12"/>
          <w:szCs w:val="12"/>
          <w:shd w:fill="auto" w:val="clear"/>
          <w:lang w:val="sk-SK"/>
        </w:rPr>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P101</w:t>
        <w:tab/>
        <w:t>Ak je potrebná lekárska pomoc, majte k dispozícii obal alebo štítok výrobcu.</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P102</w:t>
        <w:tab/>
        <w:t>Uchovávajte mimo dosahu detí.</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P261</w:t>
        <w:tab/>
        <w:t>Zabráňte vdychovaniu prachu.</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P280</w:t>
        <w:tab/>
        <w:t>Používajte ochranné rukavice / ochranný odev / ochranné okuliare / tvárový štít.</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P305+P351+P338: PO ZASIAHNUTÍ OČÍ: Niekoľko minút ich opatrne vyplachujte vodou. Vyberte kontaktné šošovky, ak sú nasadené a ak je možné, odstráňte ich. Pokračujte vo vyplachovaní.</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P310: Okamžite volajte TOXIKOLOGICKÉ CENTRUM alebo lekára.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P302+P352: PRI KONTAKTE S POKOŽKOU: Umyte veľkým množstvom vody a mydla. Pri podráždení pokožky alebo vyrážke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P333+P313: Vyhľadajte lekársku pomoc / starostlivosť.</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P304+P340: PO VDÝCHNUTÍ: Preniesť osobu na čerstvý vzduch a nechajte ju v polohe uľahčujúcej dýchanie.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P312 Ak sa necítite dobre, volajte TOXIKOLOGICKÉ CENTRUM alebo lekára.</w:t>
      </w:r>
    </w:p>
    <w:p>
      <w:pPr>
        <w:pStyle w:val="Normal"/>
        <w:spacing w:lineRule="auto" w:line="240" w:before="0" w:after="0"/>
        <w:ind w:left="6" w:right="57" w:hanging="6"/>
        <w:jc w:val="both"/>
        <w:rPr>
          <w:highlight w:val="none"/>
          <w:shd w:fill="auto" w:val="clear"/>
        </w:rPr>
      </w:pPr>
      <w:r>
        <w:rPr>
          <w:rFonts w:ascii="Arial Narrow" w:hAnsi="Arial Narrow"/>
          <w:color w:val="5E5E5E"/>
          <w:spacing w:val="-3"/>
          <w:sz w:val="16"/>
          <w:szCs w:val="16"/>
          <w:shd w:fill="auto" w:val="clear"/>
          <w:lang w:val="sk-SK" w:eastAsia="en-US" w:bidi="ar-SA"/>
        </w:rPr>
        <w:t>P501 Odstráňte obsah / obal na zbernom mieste určenom podľa miestnych predpisov.</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 xml:space="preserve">Skladovanie </w:t>
      </w:r>
    </w:p>
    <w:p>
      <w:pPr>
        <w:pStyle w:val="Telotextu"/>
        <w:spacing w:before="0" w:after="80"/>
        <w:ind w:left="0" w:right="57" w:hanging="0"/>
        <w:jc w:val="both"/>
        <w:rPr>
          <w:lang w:val="sk-SK" w:eastAsia="en-US" w:bidi="ar-SA"/>
        </w:rPr>
      </w:pPr>
      <w:r>
        <w:rPr>
          <w:color w:val="5E5E5E"/>
          <w:spacing w:val="-1"/>
          <w:sz w:val="16"/>
          <w:lang w:val="sk-SK" w:eastAsia="en-US" w:bidi="ar-SA"/>
        </w:rPr>
        <w:t xml:space="preserve">Výrobok skladujte v suchu v originálnych obaloch - chráňte pred poškodením, pôsobením vody a vysokej relatívnej vlhkosti vzduchu. Pri dodržaní uvedených podmienok je skladovateľnosť </w:t>
      </w:r>
      <w:r>
        <w:rPr>
          <w:color w:val="5E5E5E"/>
          <w:spacing w:val="-1"/>
          <w:sz w:val="16"/>
          <w:lang w:val="sk-SK" w:eastAsia="en-US" w:bidi="ar-SA"/>
        </w:rPr>
        <w:t>12</w:t>
      </w:r>
      <w:r>
        <w:rPr>
          <w:color w:val="5E5E5E"/>
          <w:spacing w:val="-1"/>
          <w:sz w:val="16"/>
          <w:lang w:val="sk-SK" w:eastAsia="en-US" w:bidi="ar-SA"/>
        </w:rPr>
        <w:t xml:space="preserve"> mesiacov od dátumu, vyznačenom na obale.</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 xml:space="preserve">Expedícia </w:t>
      </w:r>
    </w:p>
    <w:p>
      <w:pPr>
        <w:pStyle w:val="Telotextu"/>
        <w:spacing w:before="0" w:after="80"/>
        <w:ind w:left="0" w:right="57" w:hanging="0"/>
        <w:jc w:val="both"/>
        <w:rPr>
          <w:lang w:val="sk-SK" w:eastAsia="en-US" w:bidi="ar-SA"/>
        </w:rPr>
      </w:pPr>
      <w:r>
        <w:rPr>
          <w:color w:val="5E5E5E"/>
          <w:spacing w:val="-1"/>
          <w:sz w:val="16"/>
          <w:lang w:val="sk-SK" w:eastAsia="en-US" w:bidi="ar-SA"/>
        </w:rPr>
        <w:t>Suchá zmes sa dodáva v papierových vreciach na paletách krytých fóliou.</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Vyrobené</w:t>
      </w:r>
    </w:p>
    <w:p>
      <w:pPr>
        <w:pStyle w:val="Telotextu"/>
        <w:spacing w:lineRule="exact" w:line="183" w:before="0" w:after="80"/>
        <w:ind w:left="0" w:right="57" w:hanging="0"/>
        <w:jc w:val="both"/>
        <w:rPr>
          <w:lang w:val="sk-SK" w:eastAsia="en-US" w:bidi="ar-SA"/>
        </w:rPr>
      </w:pPr>
      <w:r>
        <w:rPr>
          <w:color w:val="5E5E5E"/>
          <w:spacing w:val="-1"/>
          <w:lang w:val="sk-SK" w:eastAsia="en-US" w:bidi="ar-SA"/>
        </w:rPr>
        <w:t>v EU pre SICC Coatings GmbH</w:t>
      </w:r>
    </w:p>
    <w:p>
      <w:pPr>
        <w:pStyle w:val="Normal"/>
        <w:shd w:val="clear" w:color="auto" w:fill="808080" w:themeFill="background1" w:themeFillShade="80"/>
        <w:spacing w:before="160" w:after="160"/>
        <w:rPr>
          <w:color w:themeColor="background1"/>
        </w:rPr>
      </w:pPr>
      <w:r>
        <w:rPr>
          <w:rFonts w:ascii="Arial Narrow" w:hAnsi="Arial Narrow"/>
          <w:b/>
          <w:color w:val="FFFFFF" w:themeColor="background1"/>
          <w:sz w:val="18"/>
          <w:szCs w:val="18"/>
          <w:lang w:val="sk-SK" w:eastAsia="en-US" w:bidi="ar-SA"/>
        </w:rPr>
        <w:t>Platnost</w:t>
      </w:r>
    </w:p>
    <w:p>
      <w:pPr>
        <w:pStyle w:val="Telotextu"/>
        <w:spacing w:before="0" w:after="80"/>
        <w:ind w:left="0" w:right="57" w:hanging="0"/>
        <w:rPr>
          <w:lang w:val="sk-SK" w:eastAsia="en-US" w:bidi="ar-SA"/>
        </w:rPr>
      </w:pPr>
      <w:r>
        <w:rPr>
          <w:color w:val="5E5E5E"/>
          <w:lang w:val="sk-SK" w:eastAsia="en-US" w:bidi="ar-SA"/>
        </w:rPr>
        <w:t xml:space="preserve">Od 1.6.2020 </w:t>
      </w:r>
    </w:p>
    <w:p>
      <w:pPr>
        <w:pStyle w:val="Telotextu"/>
        <w:spacing w:before="0" w:after="80"/>
        <w:ind w:left="0" w:right="57" w:hanging="0"/>
        <w:rPr>
          <w:rFonts w:ascii="Arial Narrow" w:hAnsi="Arial Narrow"/>
          <w:color w:val="5E5E5E"/>
          <w:sz w:val="16"/>
          <w:lang w:val="sk-SK" w:eastAsia="en-US" w:bidi="ar-SA"/>
        </w:rPr>
      </w:pPr>
      <w:r>
        <w:rPr>
          <w:color w:val="5E5E5E"/>
          <w:sz w:val="16"/>
          <w:lang w:val="sk-SK" w:eastAsia="en-US" w:bidi="ar-SA"/>
        </w:rPr>
        <w:t>Nakoľko použitie a spracovanie výrobku nepodlieha nášmu priamemu vplyvu, nezodpovedáme za škody spôsobené jeho chybným použitím. Vyhradzujeme si právo vykonávať zmeny, ktoré sú výsledkom technického pokroku.</w:t>
      </w:r>
    </w:p>
    <w:p>
      <w:pPr>
        <w:pStyle w:val="Telotextu"/>
        <w:spacing w:before="0" w:after="80"/>
        <w:ind w:left="0" w:right="57" w:hanging="0"/>
        <w:rPr>
          <w:color w:val="5E5E5E"/>
        </w:rPr>
      </w:pPr>
      <w:r>
        <w:rPr>
          <w:color w:val="5E5E5E"/>
        </w:rPr>
      </w:r>
    </w:p>
    <w:p>
      <w:pPr>
        <w:sectPr>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709" w:top="1418" w:footer="709" w:bottom="85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pPr>
    <w:r>
      <w:rPr>
        <w:rFonts w:cs="Arial" w:ascii="Arial Narrow" w:hAnsi="Arial Narrow"/>
        <w:color w:val="F2F2F2" w:themeColor="background1" w:themeShade="f2"/>
        <w:sz w:val="20"/>
        <w:szCs w:val="20"/>
      </w:rPr>
      <w:t xml:space="preserve">TM IsoTex | Stand 26.03.2020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pPr>
    <w:r>
      <w:rPr>
        <w:rFonts w:cs="Arial" w:ascii="Arial Narrow" w:hAnsi="Arial Narrow"/>
        <w:b/>
        <w:color w:val="262626" w:themeColor="text1" w:themeTint="d9"/>
        <w:sz w:val="24"/>
        <w:szCs w:val="24"/>
      </w:rPr>
      <w:t>Technický list:</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R70</w:t>
    </w:r>
  </w:p>
  <w:p>
    <w:pPr>
      <w:pStyle w:val="Zhlavie"/>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en-US"/>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 w:type="paragraph" w:styleId="ListParagraph">
    <w:name w:val="List Paragraph"/>
    <w:basedOn w:val="Normal"/>
    <w:qFormat/>
    <w:pPr>
      <w:spacing w:lineRule="auto" w:line="240" w:before="0" w:after="200"/>
      <w:ind w:left="720" w:hanging="0"/>
      <w:contextualSpacing/>
    </w:pPr>
    <w:rPr>
      <w:rFonts w:ascii="Calibri" w:hAnsi="Calibri" w:eastAsia="Calibri" w:cs="Times New Roman"/>
      <w:lang w:val="cs-CZ"/>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4032-4C04-4C26-8497-EC73BA5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Application>LibreOffice/7.3.7.2$Linux_X86_64 LibreOffice_project/30$Build-2</Application>
  <AppVersion>15.0000</AppVersion>
  <Pages>2</Pages>
  <Words>1068</Words>
  <Characters>6378</Characters>
  <CharactersWithSpaces>7348</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2020-03-26T13:05:00Z</dcterms:created>
  <dc:creator>Sprenger</dc:creator>
  <dc:description/>
  <dc:language>sk-SK</dc:language>
  <cp:lastModifiedBy/>
  <cp:lastPrinted>2019-10-31T10:14:00Z</cp:lastPrinted>
  <dcterms:modified xsi:type="dcterms:W3CDTF">2025-06-13T11:26:10Z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