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80808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Proprietăți și mod de utilizare</w:t>
      </w:r>
    </w:p>
    <w:p>
      <w:pPr>
        <w:pStyle w:val="Telotextu"/>
        <w:spacing w:before="0" w:after="80"/>
        <w:jc w:val="both"/>
        <w:rPr>
          <w:lang w:val="sk-SK" w:eastAsia="en-US" w:bidi="ar-SA"/>
        </w:rPr>
      </w:pPr>
      <w:r>
        <w:rPr>
          <w:color w:val="5E5E5E"/>
          <w:lang w:val="sk-SK" w:eastAsia="en-US" w:bidi="ar-SA"/>
        </w:rPr>
        <w:t xml:space="preserve">• </w:t>
      </w:r>
      <w:r>
        <w:rPr>
          <w:color w:val="5E5E5E"/>
          <w:sz w:val="16"/>
          <w:lang w:val="sk-SK" w:eastAsia="en-US" w:bidi="ar-SA"/>
        </w:rPr>
        <w:t>tencuirea tuturor tipurilor de materiale de zidărie, în special suporturi de cărămidă, beton celular și armături din beton</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in timpul renovarii si izolatiei suplimentare se poate aplica direct pe tencuieli de brizolit cu granulatie grosiera</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limitarea scurgerii de căldură din obiect datorită rezistenţei termice a structurii</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limitarea scurgerilor de căldură din clădire datorită punților termice din pereți</w:t>
      </w:r>
      <w:r>
        <w:rPr>
          <w:color w:val="5E5E5E"/>
          <w:lang w:val="sk-SK" w:eastAsia="en-US" w:bidi="ar-SA"/>
        </w:rPr>
        <w:t> </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nu împiedică îndepărtarea umezelii din zidărie datorită factorului de rezistenţă la difuzie a vaporilor de apă</w:t>
      </w:r>
    </w:p>
    <w:p>
      <w:pPr>
        <w:pStyle w:val="Telotextu"/>
        <w:widowControl w:val="false"/>
        <w:spacing w:before="0" w:after="80"/>
        <w:ind w:left="125" w:right="0" w:hanging="0"/>
        <w:jc w:val="both"/>
        <w:rPr>
          <w:lang w:val="sk-SK" w:eastAsia="en-US" w:bidi="ar-SA"/>
        </w:rPr>
      </w:pPr>
      <w:r>
        <w:rPr>
          <w:color w:val="5E5E5E"/>
          <w:lang w:val="sk-SK" w:eastAsia="en-US" w:bidi="ar-SA"/>
        </w:rPr>
        <w:t xml:space="preserve">• </w:t>
      </w:r>
      <w:r>
        <w:rPr>
          <w:color w:val="5E5E5E"/>
          <w:sz w:val="16"/>
          <w:lang w:val="sk-SK" w:eastAsia="en-US" w:bidi="ar-SA"/>
        </w:rPr>
        <w:t>tencuieli mecanice si manuale in medii externe si interne</w:t>
      </w:r>
    </w:p>
    <w:p>
      <w:pPr>
        <w:pStyle w:val="Telotextu"/>
        <w:spacing w:before="0" w:after="80"/>
        <w:ind w:left="125" w:hanging="0"/>
        <w:jc w:val="both"/>
        <w:rPr>
          <w:color w:val="5E5E5E"/>
        </w:rPr>
      </w:pPr>
      <w:r>
        <w:rPr>
          <w:color w:val="5E5E5E"/>
        </w:rPr>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Compoziţie</w:t>
      </w:r>
    </w:p>
    <w:p>
      <w:pPr>
        <w:pStyle w:val="Telotextu"/>
        <w:spacing w:before="0" w:after="80"/>
        <w:ind w:left="0" w:right="57" w:hanging="0"/>
        <w:rPr>
          <w:rFonts w:ascii="Arial Narrow" w:hAnsi="Arial Narrow"/>
          <w:color w:val="5E5E5E"/>
          <w:spacing w:val="-1"/>
          <w:sz w:val="16"/>
          <w:lang w:val="sk-SK" w:eastAsia="en-US" w:bidi="ar-SA"/>
        </w:rPr>
      </w:pPr>
      <w:r>
        <w:rPr>
          <w:color w:val="5E5E5E"/>
          <w:spacing w:val="-1"/>
          <w:sz w:val="16"/>
          <w:lang w:val="sk-SK" w:eastAsia="en-US" w:bidi="ar-SA"/>
        </w:rPr>
        <w:t>Ciment Portland, materiale de umplutură minerale, materiale de umplutură ușoare, aditivi chimici.</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Parametrii tehnici</w:t>
      </w:r>
    </w:p>
    <w:tbl>
      <w:tblPr>
        <w:tblW w:w="3148" w:type="dxa"/>
        <w:jc w:val="left"/>
        <w:tblInd w:w="0" w:type="dxa"/>
        <w:tblLayout w:type="fixed"/>
        <w:tblCellMar>
          <w:top w:w="0" w:type="dxa"/>
          <w:left w:w="119" w:type="dxa"/>
          <w:bottom w:w="0" w:type="dxa"/>
          <w:right w:w="108" w:type="dxa"/>
        </w:tblCellMar>
        <w:tblLook w:val="04a0"/>
      </w:tblPr>
      <w:tblGrid>
        <w:gridCol w:w="820"/>
        <w:gridCol w:w="651"/>
        <w:gridCol w:w="1104"/>
        <w:gridCol w:w="572"/>
      </w:tblGrid>
      <w:tr>
        <w:trPr/>
        <w:tc>
          <w:tcPr>
            <w:tcW w:w="3147" w:type="dxa"/>
            <w:gridSpan w:val="4"/>
            <w:tcBorders>
              <w:top w:val="single" w:sz="2" w:space="0" w:color="808080"/>
              <w:left w:val="single" w:sz="2" w:space="0" w:color="808080"/>
              <w:bottom w:val="single" w:sz="2" w:space="0" w:color="808080"/>
              <w:right w:val="single" w:sz="2" w:space="0" w:color="808080"/>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Tencuiala termoizolatoare pentru tencuieli exterioare (T) conform EN 998-1: 2003, categoria CSI, W2, T1</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aplicat manual</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Rezistența la compresiune (categoria CS I)</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Greutatea volumetrică a mortarului întărit</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 xml:space="preserve">400-410 kg/m </w:t>
            </w:r>
            <w:r>
              <w:rPr>
                <w:rFonts w:cs="Arial" w:ascii="Arial Narrow" w:hAnsi="Arial Narrow"/>
                <w:color w:val="666666"/>
                <w:sz w:val="16"/>
                <w:szCs w:val="16"/>
                <w:vertAlign w:val="superscript"/>
                <w:lang w:val="sk-SK" w:eastAsia="en-US" w:bidi="ar-SA"/>
              </w:rPr>
              <w:t>3</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Metoda de aderență - tear-off (B)</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&gt; 0,04 MPa</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Coeficient de conductivitate termică λ</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Factor de rezistență la difuzia vaporilor de apă μ</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8 (EN 1745)</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Timp de procesare</w:t>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20"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Reacția la foc</w:t>
            </w:r>
          </w:p>
        </w:tc>
        <w:tc>
          <w:tcPr>
            <w:tcW w:w="651"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104"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72" w:type="dxa"/>
            <w:tcBorders>
              <w:top w:val="single" w:sz="2" w:space="0" w:color="808080"/>
              <w:left w:val="single" w:sz="2" w:space="0" w:color="808080"/>
              <w:bottom w:val="single" w:sz="2" w:space="0" w:color="808080"/>
              <w:right w:val="single" w:sz="2" w:space="0" w:color="808080"/>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Telotextu"/>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Normal"/>
              <w:widowControl w:val="false"/>
              <w:spacing w:lineRule="auto" w:line="240" w:before="0" w:after="0"/>
              <w:jc w:val="center"/>
              <w:rPr>
                <w:rFonts w:ascii="Arial Narrow" w:hAnsi="Arial Narrow"/>
                <w:b/>
                <w:b/>
                <w:color w:val="1C1C1C"/>
                <w:sz w:val="16"/>
                <w:lang w:val="sk-SK" w:eastAsia="en-US" w:bidi="ar-SA"/>
              </w:rPr>
            </w:pPr>
            <w:r>
              <w:rPr>
                <w:rFonts w:cs="Arial" w:ascii="Arial Narrow" w:hAnsi="Arial Narrow"/>
                <w:b/>
                <w:color w:val="1C1C1C"/>
                <w:sz w:val="16"/>
                <w:szCs w:val="16"/>
                <w:lang w:val="sk-SK" w:eastAsia="en-US" w:bidi="ar-SA"/>
              </w:rPr>
              <w:t>aplicat manual</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Granularitatea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Cantitatea de apă de amestecare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0,5-0,55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Randamentul cu un strat de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4,0-4,5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Grosimea maximă de aplicare recomandată a unui strat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Grosimea maximă a tencuielii</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Conform evaluării statice</w:t>
            </w:r>
          </w:p>
        </w:tc>
      </w:tr>
      <w:tr>
        <w:trPr>
          <w:trHeight w:val="404" w:hRule="atLeast"/>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Temperatura minimă a suportului și a aerului și a tencuielii</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800"/>
        <w:gridCol w:w="665"/>
        <w:gridCol w:w="1053"/>
        <w:gridCol w:w="581"/>
      </w:tblGrid>
      <w:tr>
        <w:trPr/>
        <w:tc>
          <w:tcPr>
            <w:tcW w:w="3099" w:type="dxa"/>
            <w:gridSpan w:val="4"/>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Tencuiala termoizolatoare pentru tencuieli exterioare (T) conform EN 998-1: 2003, categoria CSI, W2, T1</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aplicat cu mașina</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Rezistența la compresiune (categoria CS I)</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Greutatea volumetrică a mortarului întărit</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350 - 400 kg/mc</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Metoda de aderență - tear-off (B)</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&gt;0,04 MPa</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Coeficient de conductivitate termică λ</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&lt; T1</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Factor de rezistență la difuzia vaporilor de apă μ</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lang w:val="sk-SK" w:eastAsia="en-US" w:bidi="ar-SA"/>
              </w:rPr>
            </w:pPr>
            <w:r>
              <w:rPr>
                <w:rFonts w:cs="Arial" w:ascii="Arial Narrow" w:hAnsi="Arial Narrow"/>
                <w:color w:val="666666"/>
                <w:sz w:val="16"/>
                <w:szCs w:val="16"/>
                <w:lang w:val="sk-SK" w:eastAsia="en-US" w:bidi="ar-SA"/>
              </w:rPr>
              <w:t>&lt;8 (EN 174)</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Timp de procesare</w:t>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60 min.</w:t>
            </w:r>
          </w:p>
        </w:tc>
      </w:tr>
      <w:tr>
        <w:trPr/>
        <w:tc>
          <w:tcPr>
            <w:tcW w:w="800"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Reacția la foc</w:t>
            </w:r>
          </w:p>
        </w:tc>
        <w:tc>
          <w:tcPr>
            <w:tcW w:w="665"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A1</w:t>
            </w:r>
          </w:p>
        </w:tc>
        <w:tc>
          <w:tcPr>
            <w:tcW w:w="105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c>
          <w:tcPr>
            <w:tcW w:w="581"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s="Arial"/>
                <w:color w:val="666666"/>
                <w:sz w:val="16"/>
                <w:szCs w:val="16"/>
                <w:lang w:val="sk-SK" w:eastAsia="en-US" w:bidi="ar-SA"/>
              </w:rPr>
            </w:pPr>
            <w:r>
              <w:rPr>
                <w:rFonts w:cs="Arial" w:ascii="Arial Narrow" w:hAnsi="Arial Narrow"/>
                <w:color w:val="666666"/>
                <w:sz w:val="16"/>
                <w:szCs w:val="16"/>
                <w:lang w:val="sk-SK" w:eastAsia="en-US" w:bidi="ar-SA"/>
              </w:rPr>
            </w:r>
          </w:p>
        </w:tc>
      </w:tr>
    </w:tbl>
    <w:p>
      <w:pPr>
        <w:pStyle w:val="Normal"/>
        <w:spacing w:before="0" w:after="80"/>
        <w:ind w:left="0" w:right="57" w:hanging="0"/>
        <w:rPr>
          <w:color w:val="5E5E5E"/>
          <w:lang w:val="sk-SK" w:eastAsia="en-US" w:bidi="ar-SA"/>
        </w:rPr>
      </w:pPr>
      <w:r>
        <w:rPr>
          <w:color w:val="5E5E5E"/>
          <w:lang w:val="sk-SK" w:eastAsia="en-US" w:bidi="ar-SA"/>
        </w:rPr>
      </w:r>
    </w:p>
    <w:tbl>
      <w:tblPr>
        <w:tblW w:w="5000" w:type="pct"/>
        <w:jc w:val="left"/>
        <w:tblInd w:w="0" w:type="dxa"/>
        <w:tblLayout w:type="fixed"/>
        <w:tblCellMar>
          <w:top w:w="0" w:type="dxa"/>
          <w:left w:w="119" w:type="dxa"/>
          <w:bottom w:w="0" w:type="dxa"/>
          <w:right w:w="108" w:type="dxa"/>
        </w:tblCellMar>
        <w:tblLook w:val="04a0"/>
      </w:tblPr>
      <w:tblGrid>
        <w:gridCol w:w="1943"/>
        <w:gridCol w:w="1156"/>
      </w:tblGrid>
      <w:tr>
        <w:trPr/>
        <w:tc>
          <w:tcPr>
            <w:tcW w:w="3099" w:type="dxa"/>
            <w:gridSpan w:val="2"/>
            <w:tcBorders>
              <w:top w:val="single" w:sz="2" w:space="0" w:color="666666"/>
              <w:left w:val="single" w:sz="2" w:space="0" w:color="666666"/>
              <w:bottom w:val="single" w:sz="2" w:space="0" w:color="666666"/>
              <w:right w:val="single" w:sz="2" w:space="0" w:color="666666"/>
            </w:tcBorders>
            <w:shd w:fill="EEEEEE" w:val="clear"/>
          </w:tcPr>
          <w:p>
            <w:pPr>
              <w:pStyle w:val="Normal"/>
              <w:widowControl w:val="false"/>
              <w:spacing w:lineRule="auto" w:line="240" w:before="0" w:after="0"/>
              <w:jc w:val="center"/>
              <w:rPr>
                <w:rFonts w:ascii="Arial Narrow" w:hAnsi="Arial Narrow"/>
                <w:color w:val="1C1C1C"/>
                <w:sz w:val="16"/>
                <w:lang w:val="sk-SK" w:eastAsia="en-US" w:bidi="ar-SA"/>
              </w:rPr>
            </w:pPr>
            <w:r>
              <w:rPr>
                <w:rFonts w:cs="Arial" w:ascii="Arial Narrow" w:hAnsi="Arial Narrow"/>
                <w:color w:val="1C1C1C"/>
                <w:sz w:val="16"/>
                <w:szCs w:val="16"/>
                <w:lang w:val="sk-SK" w:eastAsia="en-US" w:bidi="ar-SA"/>
              </w:rPr>
              <w:t>Informativ</w:t>
            </w:r>
          </w:p>
          <w:p>
            <w:pPr>
              <w:pStyle w:val="Telotextu"/>
              <w:widowControl w:val="false"/>
              <w:spacing w:lineRule="auto" w:line="240" w:before="0" w:after="0"/>
              <w:jc w:val="center"/>
              <w:rPr>
                <w:lang w:val="sk-SK" w:eastAsia="en-US" w:bidi="ar-SA"/>
              </w:rPr>
            </w:pPr>
            <w:r>
              <w:rPr>
                <w:rFonts w:cs="Arial"/>
                <w:b/>
                <w:color w:val="1C1C1C"/>
                <w:sz w:val="16"/>
                <w:szCs w:val="16"/>
                <w:lang w:val="sk-SK" w:eastAsia="en-US" w:bidi="ar-SA"/>
              </w:rPr>
              <w:t>mașină aplicată</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Granularitatea</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0,125 - 2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Cantitatea de apă de amestecare</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În funcție de tipul mașinii de tencuit l/kg</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color w:val="666666"/>
                <w:sz w:val="16"/>
                <w:szCs w:val="16"/>
                <w:lang w:val="sk-SK" w:eastAsia="en-US" w:bidi="ar-SA"/>
              </w:rPr>
              <w:t>Randamentul cu un strat de 10 mm</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ascii="Arial Narrow" w:hAnsi="Arial Narrow"/>
                <w:color w:val="666666"/>
                <w:sz w:val="16"/>
                <w:szCs w:val="16"/>
                <w:lang w:val="sk-SK" w:eastAsia="en-US" w:bidi="ar-SA"/>
              </w:rPr>
              <w:t xml:space="preserve">4,2 kg/ </w:t>
            </w:r>
            <w:r>
              <w:rPr>
                <w:rFonts w:ascii="Arial Narrow" w:hAnsi="Arial Narrow"/>
                <w:color w:val="666666"/>
                <w:sz w:val="16"/>
                <w:szCs w:val="16"/>
                <w:vertAlign w:val="superscript"/>
                <w:lang w:val="sk-SK" w:eastAsia="en-US" w:bidi="ar-SA"/>
              </w:rPr>
              <w:t>m2</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Grosimea maximă de aplicare a unui strat</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20 mm</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Grosimea maximă a tencuielii</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lang w:val="sk-SK" w:eastAsia="en-US" w:bidi="ar-SA"/>
              </w:rPr>
            </w:pPr>
            <w:r>
              <w:rPr>
                <w:rFonts w:cs="Arial" w:ascii="Arial Narrow" w:hAnsi="Arial Narrow"/>
                <w:color w:val="666666"/>
                <w:sz w:val="16"/>
                <w:szCs w:val="16"/>
                <w:lang w:val="sk-SK" w:eastAsia="en-US" w:bidi="ar-SA"/>
              </w:rPr>
              <w:t>Conform evaluării statice</w:t>
            </w:r>
          </w:p>
        </w:tc>
      </w:tr>
      <w:tr>
        <w:trPr/>
        <w:tc>
          <w:tcPr>
            <w:tcW w:w="1943"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rPr>
                <w:rFonts w:ascii="Arial Narrow" w:hAnsi="Arial Narrow"/>
                <w:color w:val="666666"/>
                <w:sz w:val="16"/>
                <w:lang w:val="sk-SK" w:eastAsia="en-US" w:bidi="ar-SA"/>
              </w:rPr>
            </w:pPr>
            <w:r>
              <w:rPr>
                <w:rFonts w:cs="Arial" w:ascii="Arial Narrow" w:hAnsi="Arial Narrow"/>
                <w:bCs/>
                <w:color w:val="666666"/>
                <w:sz w:val="16"/>
                <w:szCs w:val="16"/>
                <w:lang w:val="sk-SK" w:eastAsia="en-US" w:bidi="ar-SA"/>
              </w:rPr>
              <w:t>Temperatura minimă a suportului și a aerului și a tencuielii</w:t>
            </w:r>
          </w:p>
        </w:tc>
        <w:tc>
          <w:tcPr>
            <w:tcW w:w="1156" w:type="dxa"/>
            <w:tcBorders>
              <w:top w:val="single" w:sz="2" w:space="0" w:color="666666"/>
              <w:left w:val="single" w:sz="2" w:space="0" w:color="666666"/>
              <w:bottom w:val="single" w:sz="2" w:space="0" w:color="666666"/>
              <w:right w:val="single" w:sz="2" w:space="0" w:color="666666"/>
            </w:tcBorders>
            <w:shd w:fill="auto" w:val="clear"/>
          </w:tcPr>
          <w:p>
            <w:pPr>
              <w:pStyle w:val="Normal"/>
              <w:widowControl w:val="false"/>
              <w:spacing w:lineRule="auto" w:line="240" w:before="0" w:after="0"/>
              <w:jc w:val="center"/>
              <w:rPr>
                <w:rFonts w:ascii="Arial Narrow" w:hAnsi="Arial Narrow"/>
                <w:color w:val="666666"/>
                <w:sz w:val="16"/>
                <w:szCs w:val="16"/>
              </w:rPr>
            </w:pPr>
            <w:r>
              <w:rPr>
                <w:rFonts w:cs="Arial" w:ascii="Arial Narrow" w:hAnsi="Arial Narrow"/>
                <w:color w:val="666666"/>
                <w:sz w:val="16"/>
                <w:szCs w:val="16"/>
                <w:lang w:val="sk-SK" w:eastAsia="en-US" w:bidi="ar-SA"/>
              </w:rPr>
              <w:t>5 °C</w:t>
            </w:r>
          </w:p>
        </w:tc>
      </w:tr>
    </w:tbl>
    <w:p>
      <w:pPr>
        <w:pStyle w:val="Normal"/>
        <w:spacing w:before="0" w:after="80"/>
        <w:ind w:left="0" w:right="57" w:hanging="0"/>
        <w:rPr>
          <w:color w:val="5E5E5E"/>
          <w:sz w:val="16"/>
          <w:szCs w:val="16"/>
          <w:lang w:val="sk-SK" w:eastAsia="en-US" w:bidi="ar-SA"/>
        </w:rPr>
      </w:pPr>
      <w:r>
        <w:rPr>
          <w:color w:val="5E5E5E"/>
          <w:sz w:val="16"/>
          <w:szCs w:val="16"/>
          <w:lang w:val="sk-SK" w:eastAsia="en-US" w:bidi="ar-SA"/>
        </w:rPr>
      </w:r>
    </w:p>
    <w:p>
      <w:pPr>
        <w:pStyle w:val="Normal"/>
        <w:spacing w:before="0" w:after="80"/>
        <w:ind w:left="0" w:right="57" w:hanging="0"/>
        <w:rPr>
          <w:rFonts w:ascii="Arial Narrow" w:hAnsi="Arial Narrow"/>
          <w:color w:val="5E5E5E"/>
          <w:sz w:val="16"/>
          <w:lang w:val="sk-SK" w:eastAsia="en-US" w:bidi="ar-SA"/>
        </w:rPr>
      </w:pPr>
      <w:r>
        <w:rPr>
          <w:rFonts w:ascii="Arial Narrow" w:hAnsi="Arial Narrow"/>
          <w:color w:val="5E5E5E"/>
          <w:sz w:val="16"/>
          <w:szCs w:val="16"/>
          <w:lang w:val="sk-SK" w:eastAsia="en-US" w:bidi="ar-SA"/>
        </w:rPr>
        <w:t>NOTĂ: Parametrii tehnici sunt determinați în condiții normale (20 ± 2) °C și (65 ± 5) °C</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Pregătirea fundalului</w:t>
      </w:r>
    </w:p>
    <w:p>
      <w:pPr>
        <w:pStyle w:val="Telotextu"/>
        <w:spacing w:before="0" w:after="0"/>
        <w:ind w:left="0" w:right="57" w:hanging="0"/>
        <w:jc w:val="both"/>
        <w:rPr>
          <w:lang w:val="sk-SK" w:eastAsia="en-US" w:bidi="ar-SA"/>
        </w:rPr>
      </w:pPr>
      <w:r>
        <w:rPr>
          <w:color w:val="666666"/>
          <w:sz w:val="16"/>
          <w:szCs w:val="16"/>
          <w:lang w:val="sk-SK" w:eastAsia="en-US" w:bidi="ar-SA"/>
        </w:rPr>
        <w:t xml:space="preserve">Substratul trebuie să fie rezistent și suportabil, fără praf, reziduuri de vopsea, var și grăsime. Nu trebuie să fie impermeabil. În cazul în care substratul actual a fost prevăzut în trecut cu un strat de acoperire, acesta trebuie îndepărtat mecanic de tencuiala originală, sau chiar de zidăria de bază. Mașinile de zgâriat cu discuri de aplicare adecvate sunt potrivite pentru îndepărtarea unor astfel de straturi. În cazul straturilor de bază deranjate, friabile, este necesar să se aplice un strat de armatură de var-ciment sau ciment și un strat de penetrare. Zidaria trebuie sa fie suficient de maturata, fara modificari de volum. </w:t>
      </w:r>
      <w:r>
        <w:rPr>
          <w:b/>
          <w:color w:val="666666"/>
          <w:sz w:val="16"/>
          <w:szCs w:val="16"/>
          <w:lang w:val="sk-SK" w:eastAsia="en-US" w:bidi="ar-SA"/>
        </w:rPr>
        <w:t xml:space="preserve">Substraturile absorbante trebuie amorsate înainte de aplicare - FixPlus / StuccoPrimer. </w:t>
      </w:r>
      <w:r>
        <w:rPr>
          <w:color w:val="666666"/>
          <w:sz w:val="16"/>
          <w:szCs w:val="16"/>
          <w:lang w:val="sk-SK" w:eastAsia="en-US" w:bidi="ar-SA"/>
        </w:rPr>
        <w:t>Pentru a menține planeitatea fațadei, vă recomandăm să aplicați întotdeauna tencuiala între benzile de ipsos.</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Prelucrare</w:t>
      </w:r>
    </w:p>
    <w:p>
      <w:pPr>
        <w:pStyle w:val="Telotextu"/>
        <w:spacing w:before="0" w:after="80"/>
        <w:ind w:left="0" w:right="57" w:hanging="0"/>
        <w:jc w:val="both"/>
        <w:rPr>
          <w:lang w:val="sk-SK" w:eastAsia="en-US" w:bidi="ar-SA"/>
        </w:rPr>
      </w:pPr>
      <w:r>
        <w:rPr>
          <w:b/>
          <w:color w:val="5E5E5E"/>
          <w:sz w:val="16"/>
          <w:szCs w:val="16"/>
          <w:lang w:val="sk-SK" w:eastAsia="en-US" w:bidi="ar-SA"/>
        </w:rPr>
        <w:t xml:space="preserve">a) Aplicare manuală </w:t>
      </w:r>
      <w:r>
        <w:rPr>
          <w:color w:val="5E5E5E"/>
          <w:sz w:val="16"/>
          <w:szCs w:val="16"/>
          <w:lang w:val="sk-SK" w:eastAsia="en-US" w:bidi="ar-SA"/>
        </w:rPr>
        <w:t>- Tencuiala se amestecă în cantitatea prescrisă de apă de amestec cu ajutorul unui mixer manual timp de cel puțin 4 minute, până la o stare de consistență omogenă, fără cocoloașe. Lăsați amestecul de mortar să stea timp de 5 minute, apoi amestecați din nou bine. Nu amestecați într-un mixer cu picături!</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IMPORTANT! </w:t>
      </w:r>
      <w:r>
        <w:rPr>
          <w:color w:val="5E5E5E"/>
          <w:sz w:val="16"/>
          <w:lang w:val="sk-SK" w:eastAsia="en-US" w:bidi="ar-SA"/>
        </w:rPr>
        <w:t>Pentru a asigura o consistență omogenă a mortarului în timpul aplicării, este necesar să se folosească întregul conținut al pungii. Este recomandat ca atunci când aplicați tencuiala pe o suprafață mai mare, să amestecați întotdeauna cel puțin 3 pungi de ipsos într-un recipient potrivit, pe care să începeți să îl aplicați pe perete. În momentul în care aproximativ ultima treime a mortarului rămâne în recipient, amestecați încă două pungi de ipsos și amestecați din nou amestecul cu apă până la o consistență omogenă. Utilizarea parțială a conținutului pungii nu este permisă. Un indicator al mortarului pregătit corespunzător este densitatea sa uniformă, fără cocoloașe și capacitatea sa de a se ține de o mistrie sau o lingură de metal inversată.</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sz w:val="16"/>
          <w:lang w:val="sk-SK" w:eastAsia="en-US" w:bidi="ar-SA"/>
        </w:rPr>
        <w:t>În timpul aplicării, reglam tencuiala cu o mistrie de plastic. Tencuiala IsoTex R70 are efect de „miel” cu o grosime a granulelor de până la 2 mm. După 48 de ore, se recomandă aplicarea penetrației sub stratul FixPlus și apoi aplicarea stratului ThermoShield®.</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b/>
          <w:color w:val="5E5E5E"/>
          <w:sz w:val="16"/>
          <w:lang w:val="sk-SK" w:eastAsia="en-US" w:bidi="ar-SA"/>
        </w:rPr>
        <w:t xml:space="preserve">b) Aplicare la mașină </w:t>
      </w:r>
      <w:r>
        <w:rPr>
          <w:color w:val="5E5E5E"/>
          <w:sz w:val="16"/>
          <w:lang w:val="sk-SK" w:eastAsia="en-US" w:bidi="ar-SA"/>
        </w:rPr>
        <w:t>- Pentru aplicarea tencuielilor termoizolante la utilizarea mașinilor de tencuit cu zonă de amestecare integrată, se aplică următoarele setări:</w:t>
      </w:r>
      <w:r>
        <w:rPr>
          <w:color w:val="5E5E5E"/>
          <w:lang w:val="sk-SK" w:eastAsia="en-US" w:bidi="ar-SA"/>
        </w:rPr>
        <w:t>  </w:t>
      </w:r>
    </w:p>
    <w:p>
      <w:pPr>
        <w:pStyle w:val="Telotextu"/>
        <w:spacing w:before="0" w:after="80"/>
        <w:ind w:left="0" w:right="57" w:hanging="0"/>
        <w:jc w:val="both"/>
        <w:rPr>
          <w:lang w:val="sk-SK" w:eastAsia="en-US" w:bidi="ar-SA"/>
        </w:rPr>
      </w:pPr>
      <w:r>
        <w:rPr>
          <w:color w:val="5E5E5E"/>
          <w:sz w:val="16"/>
          <w:szCs w:val="16"/>
          <w:lang w:val="sk-SK" w:eastAsia="en-US" w:bidi="ar-SA"/>
        </w:rPr>
        <w:t xml:space="preserve">• </w:t>
      </w:r>
      <w:r>
        <w:rPr>
          <w:color w:val="5E5E5E"/>
          <w:sz w:val="16"/>
          <w:szCs w:val="16"/>
          <w:lang w:val="sk-SK" w:eastAsia="en-US" w:bidi="ar-SA"/>
        </w:rPr>
        <w:t>Duză: nr. 16</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Înălțimea coloanei de apă: 400-500</w:t>
      </w:r>
    </w:p>
    <w:p>
      <w:pPr>
        <w:pStyle w:val="Telotextu"/>
        <w:widowControl w:val="false"/>
        <w:suppressAutoHyphens w:val="false"/>
        <w:spacing w:lineRule="auto" w:line="240" w:before="0" w:after="80"/>
        <w:ind w:left="0" w:right="57" w:hanging="0"/>
        <w:jc w:val="both"/>
        <w:rPr>
          <w:color w:val="C9211E"/>
        </w:rPr>
      </w:pPr>
      <w:r>
        <w:rPr>
          <w:b/>
          <w:bCs/>
          <w:color w:val="C9211E"/>
          <w:sz w:val="16"/>
          <w:lang w:val="sk-SK" w:eastAsia="en-US" w:bidi="ar-SA"/>
        </w:rPr>
        <w:t xml:space="preserve">AVERTISMENT </w:t>
      </w:r>
      <w:r>
        <w:rPr>
          <w:color w:val="C9211E"/>
          <w:sz w:val="16"/>
          <w:lang w:val="sk-SK" w:eastAsia="en-US" w:bidi="ar-SA"/>
        </w:rPr>
        <w:t>:</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EN 13914-1 se aplică la proiectarea, pregătirea și implementarea tencuielilor exterioare</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Nu este permisă adăugarea suplimentară de lianți, materiale de umplutură și alte ingrediente sau cernerea amestecului.</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 xml:space="preserve">Amestecul poate fi prelucrat numai </w:t>
      </w:r>
      <w:r>
        <w:rPr>
          <w:b/>
          <w:bCs/>
          <w:color w:val="C9211E"/>
          <w:sz w:val="16"/>
          <w:lang w:val="sk-SK" w:eastAsia="en-US" w:bidi="ar-SA"/>
        </w:rPr>
        <w:t xml:space="preserve">la o temperatură a aerului și a substratului de +8°C până la 25 </w:t>
      </w:r>
      <w:r>
        <w:rPr>
          <w:rFonts w:eastAsia="Arial Narrow" w:cs=""/>
          <w:b/>
          <w:bCs/>
          <w:color w:val="C9211E"/>
          <w:kern w:val="0"/>
          <w:sz w:val="16"/>
          <w:szCs w:val="16"/>
          <w:lang w:val="sk-SK" w:eastAsia="en-US" w:bidi="ar-SA"/>
        </w:rPr>
        <w:t xml:space="preserve">°C </w:t>
      </w:r>
      <w:r>
        <w:rPr>
          <w:b/>
          <w:bCs/>
          <w:color w:val="C9211E"/>
          <w:sz w:val="16"/>
          <w:lang w:val="sk-SK" w:eastAsia="en-US" w:bidi="ar-SA"/>
        </w:rPr>
        <w:t xml:space="preserve">!!! </w:t>
      </w:r>
      <w:r>
        <w:rPr>
          <w:color w:val="5E5E5E"/>
          <w:sz w:val="16"/>
          <w:lang w:val="sk-SK" w:eastAsia="en-US" w:bidi="ar-SA"/>
        </w:rPr>
        <w:t>A nu se utiliza când se așteaptă îngheț!</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Pentru amestecarea amestecului trebuie folosită apă potabilă sau apă conformă cu EN1008.</w:t>
      </w:r>
      <w:r>
        <w:rPr>
          <w:color w:val="5E5E5E"/>
          <w:lang w:val="sk-SK" w:eastAsia="en-US" w:bidi="ar-SA"/>
        </w:rPr>
        <w:t> </w:t>
      </w:r>
    </w:p>
    <w:p>
      <w:pPr>
        <w:pStyle w:val="Telotextu"/>
        <w:widowControl w:val="false"/>
        <w:suppressAutoHyphens w:val="false"/>
        <w:spacing w:lineRule="auto" w:line="240" w:before="0" w:after="80"/>
        <w:ind w:left="0" w:right="57" w:hanging="0"/>
        <w:jc w:val="both"/>
        <w:rPr>
          <w:lang w:val="sk-SK" w:eastAsia="en-US" w:bidi="ar-SA"/>
        </w:rPr>
      </w:pPr>
      <w:r>
        <w:rPr>
          <w:color w:val="5E5E5E"/>
          <w:lang w:val="sk-SK" w:eastAsia="en-US" w:bidi="ar-SA"/>
        </w:rPr>
        <w:t xml:space="preserve">• </w:t>
      </w:r>
      <w:r>
        <w:rPr>
          <w:color w:val="5E5E5E"/>
          <w:sz w:val="16"/>
          <w:lang w:val="sk-SK" w:eastAsia="en-US" w:bidi="ar-SA"/>
        </w:rPr>
        <w:t>Eliminarea produsului: Puneți ambalajul uzat într-o groapă de gunoi autorizată. Lăsați materialul nefolosit să se întărească și puneți-l într-o groapă de gunoi municipale. Preparare proprie - deșeu cod 101311 Deșeuri din alte materiale amestecate neînscrise la numerele 101309 și 101310. Material întărit - deșeu cod 170904 Deșeuri mixte de construcții și demolare neincluse la numerele 170901, 170902 și 170903.</w:t>
      </w:r>
      <w:r>
        <w:rPr>
          <w:color w:val="5E5E5E"/>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Prim ajutor</w:t>
      </w: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În caz de probleme de sănătate sau în caz de îndoială, informați medicul.</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În caz de inhalare, mutați persoana afectată la aer curat, în caz de dificultăți de respirație apelați la ajutor medical.</w:t>
      </w:r>
    </w:p>
    <w:p>
      <w:pPr>
        <w:pStyle w:val="Telotextu"/>
        <w:spacing w:before="0" w:after="192"/>
        <w:ind w:left="0" w:right="57" w:hanging="0"/>
        <w:jc w:val="both"/>
        <w:rPr>
          <w:lang w:val="sk-SK" w:eastAsia="en-US" w:bidi="ar-SA"/>
        </w:rPr>
      </w:pPr>
      <w:r>
        <w:rPr>
          <w:color w:val="5E5E5E"/>
          <w:lang w:val="sk-SK" w:eastAsia="en-US" w:bidi="ar-SA"/>
        </w:rPr>
        <w:t>În cazul contactului cu pielea, spălați pielea cu apă curată și săpun. Tratați zonele iritate cu cremă reparatoare.</w:t>
      </w:r>
    </w:p>
    <w:p>
      <w:pPr>
        <w:sectPr>
          <w:headerReference w:type="default" r:id="rId2"/>
          <w:footerReference w:type="default" r:id="rId3"/>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Telotextu"/>
        <w:spacing w:before="0" w:after="192"/>
        <w:ind w:left="0" w:right="57" w:hanging="0"/>
        <w:jc w:val="both"/>
        <w:rPr>
          <w:rFonts w:ascii="Arial Narrow" w:hAnsi="Arial Narrow"/>
          <w:color w:val="5E5E5E"/>
          <w:sz w:val="16"/>
          <w:lang w:val="sk-SK" w:eastAsia="en-US" w:bidi="ar-SA"/>
        </w:rPr>
      </w:pPr>
      <w:r>
        <w:rPr>
          <w:color w:val="5E5E5E"/>
          <w:sz w:val="16"/>
          <w:lang w:val="sk-SK" w:eastAsia="en-US" w:bidi="ar-SA"/>
        </w:rPr>
        <w:t>În cazul contactului cu ochii, spălați imediat pleoapele deschise cu un jet de apă curată timp de 15 minute. și apoi solicitați asistență medicală.</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Dacă este înghițit, clătiți-vă gura cu apă, beți 0,5 litri de apă și solicitați ajutor medical. Nu induceți vărsăturile.</w:t>
      </w:r>
    </w:p>
    <w:p>
      <w:pPr>
        <w:pStyle w:val="Telotextu"/>
        <w:widowControl w:val="false"/>
        <w:suppressAutoHyphens w:val="false"/>
        <w:spacing w:lineRule="auto" w:line="240" w:before="0" w:after="192"/>
        <w:ind w:left="0" w:right="57" w:hanging="0"/>
        <w:jc w:val="both"/>
        <w:rPr>
          <w:rFonts w:ascii="Arial Narrow" w:hAnsi="Arial Narrow"/>
          <w:color w:val="5E5E5E"/>
          <w:sz w:val="16"/>
          <w:lang w:val="sk-SK" w:eastAsia="en-US" w:bidi="ar-SA"/>
        </w:rPr>
      </w:pPr>
      <w:r>
        <w:rPr>
          <w:color w:val="5E5E5E"/>
          <w:sz w:val="16"/>
          <w:lang w:val="sk-SK" w:eastAsia="en-US" w:bidi="ar-SA"/>
        </w:rPr>
        <w:t>Medicamentul poate provoca o reacție alergică în contact cu pielea. Dacă simptomele oricărui impact (iritare) cauzate de contactul cu produsul nu dispar după acordarea primului ajutor, solicitați asistență medicală.</w:t>
      </w:r>
    </w:p>
    <w:p>
      <w:pPr>
        <w:pStyle w:val="Telotextu"/>
        <w:widowControl w:val="false"/>
        <w:suppressAutoHyphens w:val="false"/>
        <w:spacing w:lineRule="auto" w:line="240" w:before="0" w:after="192"/>
        <w:ind w:left="0" w:right="57" w:hanging="0"/>
        <w:jc w:val="both"/>
        <w:rPr>
          <w:lang w:val="sk-SK" w:eastAsia="en-US" w:bidi="ar-SA"/>
        </w:rPr>
      </w:pPr>
      <w:r>
        <w:rPr>
          <w:color w:val="5E5E5E"/>
          <w:sz w:val="16"/>
          <w:lang w:val="sk-SK" w:eastAsia="en-US" w:bidi="ar-SA"/>
        </w:rPr>
        <w:t>Depozitați la îndemâna copiilor!</w:t>
      </w:r>
    </w:p>
    <w:p>
      <w:pPr>
        <w:pStyle w:val="Normal"/>
        <w:shd w:val="clear" w:color="auto" w:fill="808080" w:themeFill="background1" w:themeFillShade="80"/>
        <w:spacing w:before="160" w:after="160"/>
        <w:rPr>
          <w:rFonts w:ascii="Arial Narrow" w:hAnsi="Arial Narrow"/>
          <w:b/>
          <w:b/>
          <w:color w:val="FFFFFF"/>
          <w:sz w:val="18"/>
          <w:lang w:val="sk-SK" w:eastAsia="en-US" w:bidi="ar-SA"/>
        </w:rPr>
      </w:pPr>
      <w:r>
        <w:rPr>
          <w:rFonts w:ascii="Arial Narrow" w:hAnsi="Arial Narrow"/>
          <w:b/>
          <w:color w:val="FFFFFF" w:themeColor="background1"/>
          <w:sz w:val="18"/>
          <w:szCs w:val="18"/>
          <w:lang w:val="sk-SK" w:eastAsia="en-US" w:bidi="ar-SA"/>
        </w:rPr>
        <w:t>Reguli de siguranță și igienă</w:t>
      </w:r>
    </w:p>
    <w:p>
      <w:pPr>
        <w:pStyle w:val="Telotextu"/>
        <w:spacing w:before="0" w:after="80"/>
        <w:ind w:left="6" w:right="57" w:hanging="6"/>
        <w:jc w:val="both"/>
        <w:rPr>
          <w:rFonts w:ascii="Arial Narrow" w:hAnsi="Arial Narrow"/>
          <w:color w:val="5E5E5E"/>
          <w:spacing w:val="-3"/>
          <w:sz w:val="16"/>
          <w:lang w:val="sk-SK" w:eastAsia="en-US" w:bidi="ar-SA"/>
        </w:rPr>
      </w:pPr>
      <w:r>
        <w:rPr/>
        <w:drawing>
          <wp:inline distT="0" distB="0" distL="0" distR="0">
            <wp:extent cx="622935" cy="622935"/>
            <wp:effectExtent l="0" t="0" r="0" b="0"/>
            <wp:docPr id="2" name="Obrázok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1" descr=""/>
                    <pic:cNvPicPr>
                      <a:picLocks noChangeAspect="1" noChangeArrowheads="1"/>
                    </pic:cNvPicPr>
                  </pic:nvPicPr>
                  <pic:blipFill>
                    <a:blip r:embed="rId4"/>
                    <a:stretch>
                      <a:fillRect/>
                    </a:stretch>
                  </pic:blipFill>
                  <pic:spPr bwMode="auto">
                    <a:xfrm>
                      <a:off x="0" y="0"/>
                      <a:ext cx="622935" cy="622935"/>
                    </a:xfrm>
                    <a:prstGeom prst="rect">
                      <a:avLst/>
                    </a:prstGeom>
                  </pic:spPr>
                </pic:pic>
              </a:graphicData>
            </a:graphic>
          </wp:inline>
        </w:drawing>
      </w:r>
      <w:r>
        <w:rPr/>
        <w:drawing>
          <wp:inline distT="0" distB="0" distL="0" distR="0">
            <wp:extent cx="624205" cy="624205"/>
            <wp:effectExtent l="0" t="0" r="0" b="0"/>
            <wp:docPr id="3" name="Obráze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 descr=""/>
                    <pic:cNvPicPr>
                      <a:picLocks noChangeAspect="1" noChangeArrowheads="1"/>
                    </pic:cNvPicPr>
                  </pic:nvPicPr>
                  <pic:blipFill>
                    <a:blip r:embed="rId5"/>
                    <a:stretch>
                      <a:fillRect/>
                    </a:stretch>
                  </pic:blipFill>
                  <pic:spPr bwMode="auto">
                    <a:xfrm>
                      <a:off x="0" y="0"/>
                      <a:ext cx="624205" cy="624205"/>
                    </a:xfrm>
                    <a:prstGeom prst="rect">
                      <a:avLst/>
                    </a:prstGeom>
                  </pic:spPr>
                </pic:pic>
              </a:graphicData>
            </a:graphic>
          </wp:inline>
        </w:drawing>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Cuvânt de avertizare: </w:t>
      </w:r>
      <w:r>
        <w:rPr>
          <w:rFonts w:ascii="Arial Narrow" w:hAnsi="Arial Narrow"/>
          <w:b/>
          <w:bCs/>
          <w:color w:val="5E5E5E"/>
          <w:sz w:val="16"/>
          <w:szCs w:val="16"/>
          <w:shd w:fill="auto" w:val="clear"/>
          <w:lang w:val="sk-SK"/>
        </w:rPr>
        <w:t>Pericol</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H315 </w:t>
        <w:tab/>
        <w:t>Iritant pentru piele.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H318 </w:t>
        <w:tab/>
        <w:t>Provoacă leziuni oculare grave.</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H335 </w:t>
        <w:tab/>
        <w:t>Poate provoca iritarea căilor respiratorii.</w:t>
      </w:r>
    </w:p>
    <w:p>
      <w:pPr>
        <w:pStyle w:val="Telotextu"/>
        <w:spacing w:before="0" w:after="80"/>
        <w:ind w:left="6" w:right="57" w:hanging="6"/>
        <w:jc w:val="both"/>
        <w:rPr>
          <w:color w:val="5E5E5E"/>
          <w:spacing w:val="-3"/>
          <w:sz w:val="12"/>
          <w:szCs w:val="12"/>
          <w:highlight w:val="none"/>
          <w:shd w:fill="auto" w:val="clear"/>
          <w:lang w:val="sk-SK"/>
        </w:rPr>
      </w:pPr>
      <w:r>
        <w:rPr>
          <w:color w:val="5E5E5E"/>
          <w:spacing w:val="-3"/>
          <w:sz w:val="12"/>
          <w:szCs w:val="12"/>
          <w:shd w:fill="auto" w:val="clear"/>
          <w:lang w:val="sk-SK"/>
        </w:rPr>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P101 </w:t>
        <w:tab/>
        <w:t>Dacă este nevoie de asistență medicală, aveți la dispoziție recipientul sau eticheta producătorului.</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P102 </w:t>
        <w:tab/>
        <w:t>A nu se lăsa la îndemâna copiilor.</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P261 </w:t>
        <w:tab/>
        <w:t>Evitați să respirați praful.</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 xml:space="preserve">P280 </w:t>
        <w:tab/>
        <w:t>Folosiți mănuși de protecție / îmbrăcăminte de protecție / ochelari de protecție / protecție facială.</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P305+P351+P338: ÎN CAZ DE CONTACT CU OCHII: clătiți cu atenție cu apă timp de câteva minute. Scoateți lentilele de contact, dacă sunt purtate, și scoateți-le dacă este posibil. Continuați clătirea.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P310: Sunați imediat un CENTRU DE TOXICOLOGIE sau un medic.</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P302+P352: ÎN CAZ DE CONTACT CU PIELEA: Spălați cu multă apă și săpun. În caz de iritație sau erupție cutanată</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P333+P313: Solicitați asistență medicală.</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P304+P340: ÎN CAZ DE INHALARE: Scoateți persoana la aer curat și mențineți-o într-o poziție care facilitează respirația.</w:t>
      </w:r>
    </w:p>
    <w:p>
      <w:pPr>
        <w:pStyle w:val="Normal"/>
        <w:spacing w:lineRule="auto" w:line="240" w:before="0" w:after="0"/>
        <w:rPr>
          <w:highlight w:val="none"/>
          <w:shd w:fill="auto" w:val="clear"/>
        </w:rPr>
      </w:pPr>
      <w:r>
        <w:rPr>
          <w:rFonts w:ascii="Arial Narrow" w:hAnsi="Arial Narrow"/>
          <w:color w:val="5E5E5E"/>
          <w:sz w:val="16"/>
          <w:szCs w:val="16"/>
          <w:shd w:fill="auto" w:val="clear"/>
          <w:lang w:val="sk-SK"/>
        </w:rPr>
        <w:t>P312 Dacă vă simțiți rău, sunați la un CENTRU DE TOXICOLOGIE sau un medic.</w:t>
      </w:r>
    </w:p>
    <w:p>
      <w:pPr>
        <w:pStyle w:val="Normal"/>
        <w:spacing w:lineRule="auto" w:line="240" w:before="0" w:after="0"/>
        <w:ind w:left="6" w:right="57" w:hanging="6"/>
        <w:jc w:val="both"/>
        <w:rPr>
          <w:highlight w:val="none"/>
          <w:shd w:fill="auto" w:val="clear"/>
        </w:rPr>
      </w:pPr>
      <w:r>
        <w:rPr>
          <w:rFonts w:ascii="Arial Narrow" w:hAnsi="Arial Narrow"/>
          <w:color w:val="5E5E5E"/>
          <w:spacing w:val="-3"/>
          <w:sz w:val="16"/>
          <w:szCs w:val="16"/>
          <w:shd w:fill="auto" w:val="clear"/>
          <w:lang w:val="sk-SK" w:eastAsia="en-US" w:bidi="ar-SA"/>
        </w:rPr>
        <w:t>P501 Aruncați conținutul / ambalajul la un punct de colectare desemnat conform reglementărilor locale.</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Depozitare</w:t>
      </w:r>
    </w:p>
    <w:p>
      <w:pPr>
        <w:pStyle w:val="Telotextu"/>
        <w:spacing w:before="0" w:after="80"/>
        <w:ind w:left="0" w:right="57" w:hanging="0"/>
        <w:jc w:val="both"/>
        <w:rPr>
          <w:lang w:val="sk-SK" w:eastAsia="en-US" w:bidi="ar-SA"/>
        </w:rPr>
      </w:pPr>
      <w:r>
        <w:rPr>
          <w:color w:val="5E5E5E"/>
          <w:spacing w:val="-1"/>
          <w:sz w:val="16"/>
          <w:lang w:val="sk-SK" w:eastAsia="en-US" w:bidi="ar-SA"/>
        </w:rPr>
        <w:t xml:space="preserve">Depozitați produsul într-un loc uscat în ambalajul original - protejați împotriva deteriorării, expunerii la apă și umidității relativ ridicate. Dacă sunt respectate condițiile menționate, termenul de valabilitate este de </w:t>
      </w:r>
      <w:r>
        <w:rPr>
          <w:color w:val="5E5E5E"/>
          <w:spacing w:val="-1"/>
          <w:sz w:val="16"/>
          <w:lang w:val="sk-SK" w:eastAsia="en-US" w:bidi="ar-SA"/>
        </w:rPr>
        <w:t>12</w:t>
      </w:r>
      <w:r>
        <w:rPr>
          <w:color w:val="5E5E5E"/>
          <w:spacing w:val="-1"/>
          <w:sz w:val="16"/>
          <w:lang w:val="sk-SK" w:eastAsia="en-US" w:bidi="ar-SA"/>
        </w:rPr>
        <w:t xml:space="preserve"> luni de la data marcată pe ambalaj.</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Expediţie</w:t>
      </w:r>
    </w:p>
    <w:p>
      <w:pPr>
        <w:pStyle w:val="Telotextu"/>
        <w:spacing w:before="0" w:after="80"/>
        <w:ind w:left="0" w:right="57" w:hanging="0"/>
        <w:jc w:val="both"/>
        <w:rPr>
          <w:lang w:val="sk-SK" w:eastAsia="en-US" w:bidi="ar-SA"/>
        </w:rPr>
      </w:pPr>
      <w:r>
        <w:rPr>
          <w:color w:val="5E5E5E"/>
          <w:spacing w:val="-1"/>
          <w:sz w:val="16"/>
          <w:lang w:val="sk-SK" w:eastAsia="en-US" w:bidi="ar-SA"/>
        </w:rPr>
        <w:t>Amestecul uscat este livrat în pungi de hârtie pe paleți acoperiți cu folie.</w:t>
      </w:r>
      <w:r>
        <w:rPr>
          <w:color w:val="5E5E5E"/>
          <w:spacing w:val="-1"/>
          <w:lang w:val="sk-SK" w:eastAsia="en-US" w:bidi="ar-SA"/>
        </w:rPr>
        <w:t> </w:t>
      </w:r>
    </w:p>
    <w:p>
      <w:pPr>
        <w:pStyle w:val="Normal"/>
        <w:shd w:val="clear" w:color="auto" w:fill="808080" w:themeFill="background1" w:themeFillShade="80"/>
        <w:spacing w:before="160" w:after="160"/>
        <w:rPr>
          <w:lang w:val="sk-SK" w:eastAsia="en-US" w:bidi="ar-SA"/>
        </w:rPr>
      </w:pPr>
      <w:r>
        <w:rPr>
          <w:rFonts w:ascii="Arial Narrow" w:hAnsi="Arial Narrow"/>
          <w:b/>
          <w:color w:val="FFFFFF" w:themeColor="background1"/>
          <w:sz w:val="18"/>
          <w:szCs w:val="18"/>
          <w:lang w:val="sk-SK" w:eastAsia="en-US" w:bidi="ar-SA"/>
        </w:rPr>
        <w:t>Făcut</w:t>
      </w:r>
    </w:p>
    <w:p>
      <w:pPr>
        <w:pStyle w:val="Telotextu"/>
        <w:spacing w:lineRule="exact" w:line="183" w:before="0" w:after="80"/>
        <w:ind w:left="0" w:right="57" w:hanging="0"/>
        <w:jc w:val="both"/>
        <w:rPr>
          <w:lang w:val="sk-SK" w:eastAsia="en-US" w:bidi="ar-SA"/>
        </w:rPr>
      </w:pPr>
      <w:r>
        <w:rPr>
          <w:color w:val="5E5E5E"/>
          <w:spacing w:val="-1"/>
          <w:lang w:val="sk-SK" w:eastAsia="en-US" w:bidi="ar-SA"/>
        </w:rPr>
        <w:t>în UE pentru SICC Coatings GmbH</w:t>
      </w:r>
    </w:p>
    <w:p>
      <w:pPr>
        <w:pStyle w:val="Normal"/>
        <w:shd w:val="clear" w:color="auto" w:fill="808080" w:themeFill="background1" w:themeFillShade="80"/>
        <w:spacing w:before="160" w:after="160"/>
        <w:rPr>
          <w:color w:themeColor="background1"/>
        </w:rPr>
      </w:pPr>
      <w:r>
        <w:rPr>
          <w:rFonts w:ascii="Arial Narrow" w:hAnsi="Arial Narrow"/>
          <w:b/>
          <w:color w:val="FFFFFF" w:themeColor="background1"/>
          <w:sz w:val="18"/>
          <w:szCs w:val="18"/>
          <w:lang w:val="sk-SK" w:eastAsia="en-US" w:bidi="ar-SA"/>
        </w:rPr>
        <w:t>Valabilitate</w:t>
      </w:r>
    </w:p>
    <w:p>
      <w:pPr>
        <w:pStyle w:val="Telotextu"/>
        <w:spacing w:before="0" w:after="80"/>
        <w:ind w:left="0" w:right="57" w:hanging="0"/>
        <w:rPr>
          <w:lang w:val="sk-SK" w:eastAsia="en-US" w:bidi="ar-SA"/>
        </w:rPr>
      </w:pPr>
      <w:r>
        <w:rPr>
          <w:color w:val="5E5E5E"/>
          <w:lang w:val="sk-SK" w:eastAsia="en-US" w:bidi="ar-SA"/>
        </w:rPr>
        <w:t>Din 1.6.2020</w:t>
      </w:r>
    </w:p>
    <w:p>
      <w:pPr>
        <w:pStyle w:val="Telotextu"/>
        <w:spacing w:before="0" w:after="80"/>
        <w:ind w:left="0" w:right="57" w:hanging="0"/>
        <w:rPr>
          <w:rFonts w:ascii="Arial Narrow" w:hAnsi="Arial Narrow"/>
          <w:color w:val="5E5E5E"/>
          <w:sz w:val="16"/>
          <w:lang w:val="sk-SK" w:eastAsia="en-US" w:bidi="ar-SA"/>
        </w:rPr>
      </w:pPr>
      <w:r>
        <w:rPr>
          <w:color w:val="5E5E5E"/>
          <w:sz w:val="16"/>
          <w:lang w:val="sk-SK" w:eastAsia="en-US" w:bidi="ar-SA"/>
        </w:rPr>
        <w:t>Deoarece utilizarea și prelucrarea produsului nu sunt supuse influenței noastre directe, nu suntem responsabili pentru daunele cauzate de utilizarea incorectă a acestuia. Ne rezervăm dreptul de a face modificări ca urmare a progresului tehnic.</w:t>
      </w:r>
    </w:p>
    <w:p>
      <w:pPr>
        <w:pStyle w:val="Telotextu"/>
        <w:spacing w:before="0" w:after="80"/>
        <w:ind w:left="0" w:right="57" w:hanging="0"/>
        <w:rPr>
          <w:color w:val="5E5E5E"/>
        </w:rPr>
      </w:pPr>
      <w:r>
        <w:rPr>
          <w:color w:val="5E5E5E"/>
        </w:rPr>
      </w:r>
    </w:p>
    <w:p>
      <w:pPr>
        <w:sectPr>
          <w:type w:val="continuous"/>
          <w:pgSz w:w="11906" w:h="16838"/>
          <w:pgMar w:left="1021" w:right="1021" w:gutter="0" w:header="709" w:top="1418" w:footer="709" w:bottom="851"/>
          <w:cols w:num="3" w:space="282" w:equalWidth="true" w:sep="false"/>
          <w:formProt w:val="false"/>
          <w:textDirection w:val="lrTb"/>
          <w:docGrid w:type="default" w:linePitch="600" w:charSpace="36864"/>
        </w:sectPr>
      </w:pPr>
    </w:p>
    <w:p>
      <w:pPr>
        <w:pStyle w:val="Normal"/>
        <w:widowControl/>
        <w:suppressAutoHyphens w:val="false"/>
        <w:bidi w:val="0"/>
        <w:spacing w:lineRule="auto" w:line="259" w:before="0" w:after="160"/>
        <w:jc w:val="left"/>
        <w:rPr/>
      </w:pPr>
      <w:r>
        <w:rPr/>
      </w:r>
    </w:p>
    <w:sectPr>
      <w:type w:val="continuous"/>
      <w:pgSz w:w="11906" w:h="16838"/>
      <w:pgMar w:left="1021" w:right="1021" w:gutter="0" w:header="709" w:top="1418" w:footer="709" w:bottom="851"/>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Narrow">
    <w:charset w:val="01"/>
    <w:family w:val="roman"/>
    <w:pitch w:val="variable"/>
  </w:font>
  <w:font w:name="Segoe UI">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ta"/>
      <w:jc w:val="right"/>
      <w:rPr>
        <w:rFonts w:ascii="Arial Narrow" w:hAnsi="Arial Narrow" w:cs="Arial"/>
        <w:color w:val="F2F2F2" w:themeColor="background1" w:themeShade="f2"/>
        <w:sz w:val="20"/>
        <w:szCs w:val="20"/>
      </w:rPr>
    </w:pPr>
    <w:r>
      <w:rPr>
        <w:rFonts w:cs="Arial" w:ascii="Arial Narrow" w:hAnsi="Arial Narrow"/>
        <w:color w:val="F2F2F2" w:themeColor="background1" w:themeShade="f2"/>
        <w:sz w:val="20"/>
        <w:szCs w:val="20"/>
      </w:rPr>
    </w:r>
  </w:p>
  <w:p>
    <w:pPr>
      <w:pStyle w:val="Pta"/>
      <w:shd w:val="clear" w:color="auto" w:fill="3B3838" w:themeFill="background2" w:themeFillShade="40"/>
      <w:jc w:val="right"/>
      <w:rPr/>
    </w:pPr>
    <w:r>
      <w:rPr>
        <w:rFonts w:cs="Arial" w:ascii="Arial Narrow" w:hAnsi="Arial Narrow"/>
        <w:color w:val="F2F2F2" w:themeColor="background1" w:themeShade="f2"/>
        <w:sz w:val="20"/>
        <w:szCs w:val="20"/>
      </w:rPr>
      <w:t>TM IsoTex | Stand 26.03.2020</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ie"/>
      <w:rPr>
        <w:rFonts w:ascii="Arial Narrow" w:hAnsi="Arial Narrow" w:cs="Arial"/>
        <w:b/>
        <w:b/>
        <w:sz w:val="24"/>
        <w:szCs w:val="24"/>
      </w:rPr>
    </w:pPr>
    <w:r>
      <w:rPr/>
      <w:drawing>
        <wp:inline distT="0" distB="0" distL="0" distR="0">
          <wp:extent cx="6263640" cy="1043940"/>
          <wp:effectExtent l="0" t="0" r="0" b="0"/>
          <wp:docPr id="1" name="Grafik 1" descr="Ein Bild, das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Screenshot enthält.&#10;&#10;Automatisch generierte Beschreibung"/>
                  <pic:cNvPicPr>
                    <a:picLocks noChangeAspect="1" noChangeArrowheads="1"/>
                  </pic:cNvPicPr>
                </pic:nvPicPr>
                <pic:blipFill>
                  <a:blip r:embed="rId1"/>
                  <a:stretch>
                    <a:fillRect/>
                  </a:stretch>
                </pic:blipFill>
                <pic:spPr bwMode="auto">
                  <a:xfrm>
                    <a:off x="0" y="0"/>
                    <a:ext cx="6263640" cy="1043940"/>
                  </a:xfrm>
                  <a:prstGeom prst="rect">
                    <a:avLst/>
                  </a:prstGeom>
                </pic:spPr>
              </pic:pic>
            </a:graphicData>
          </a:graphic>
        </wp:inline>
      </w:drawing>
    </w:r>
  </w:p>
  <w:p>
    <w:pPr>
      <w:pStyle w:val="Zhlavie"/>
      <w:rPr>
        <w:rFonts w:ascii="Arial Narrow" w:hAnsi="Arial Narrow" w:cs="Arial"/>
        <w:b/>
        <w:b/>
        <w:color w:val="262626" w:themeColor="text1" w:themeTint="d9"/>
        <w:sz w:val="36"/>
        <w:szCs w:val="36"/>
      </w:rPr>
    </w:pPr>
    <w:r>
      <w:rPr>
        <w:rFonts w:cs="Arial" w:ascii="Arial Narrow" w:hAnsi="Arial Narrow"/>
        <w:b/>
        <w:color w:val="262626" w:themeColor="text1" w:themeTint="d9"/>
        <w:sz w:val="36"/>
        <w:szCs w:val="36"/>
      </w:rPr>
    </w:r>
  </w:p>
  <w:p>
    <w:pPr>
      <w:pStyle w:val="Zhlavie"/>
      <w:rPr/>
    </w:pPr>
    <w:r>
      <w:rPr>
        <w:rFonts w:cs="Arial" w:ascii="Arial Narrow" w:hAnsi="Arial Narrow"/>
        <w:b/>
        <w:color w:val="262626" w:themeColor="text1" w:themeTint="d9"/>
        <w:sz w:val="24"/>
        <w:szCs w:val="24"/>
      </w:rPr>
      <w:t>Fisa tehnica:</w:t>
    </w:r>
    <w:r>
      <w:rPr>
        <w:rFonts w:cs="Arial" w:ascii="Arial Narrow" w:hAnsi="Arial Narrow"/>
        <w:b/>
        <w:color w:val="262626" w:themeColor="text1" w:themeTint="d9"/>
        <w:sz w:val="36"/>
        <w:szCs w:val="36"/>
      </w:rPr>
      <w:t xml:space="preserve"> </w:t>
    </w:r>
    <w:r>
      <w:rPr>
        <w:rFonts w:cs="Arial" w:ascii="Arial Narrow" w:hAnsi="Arial Narrow"/>
        <w:b/>
        <w:color w:val="D42726"/>
        <w:sz w:val="36"/>
        <w:szCs w:val="36"/>
      </w:rPr>
      <w:t>IsoTex R70</w:t>
    </w:r>
  </w:p>
  <w:p>
    <w:pPr>
      <w:pStyle w:val="Zhlavie"/>
      <w:rPr>
        <w:rFonts w:ascii="Arial Narrow" w:hAnsi="Arial Narrow" w:cs="Arial"/>
        <w:b/>
        <w:b/>
        <w:color w:val="FF0000"/>
        <w:sz w:val="36"/>
        <w:szCs w:val="36"/>
      </w:rPr>
    </w:pPr>
    <w:r>
      <w:rPr>
        <w:rFonts w:cs="Arial" w:ascii="Arial Narrow" w:hAnsi="Arial Narrow"/>
        <w:b/>
        <w:color w:val="FF0000"/>
        <w:sz w:val="36"/>
        <w:szCs w:val="36"/>
      </w:rPr>
    </w:r>
  </w:p>
</w:hdr>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o-R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fals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KopfzeileZchn" w:customStyle="1">
    <w:name w:val="Kopfzeile Zchn"/>
    <w:basedOn w:val="DefaultParagraphFont"/>
    <w:uiPriority w:val="99"/>
    <w:qFormat/>
    <w:rsid w:val="00236d9d"/>
    <w:rPr/>
  </w:style>
  <w:style w:type="character" w:styleId="FuzeileZchn" w:customStyle="1">
    <w:name w:val="Fußzeile Zchn"/>
    <w:basedOn w:val="DefaultParagraphFont"/>
    <w:uiPriority w:val="99"/>
    <w:qFormat/>
    <w:rsid w:val="00236d9d"/>
    <w:rPr/>
  </w:style>
  <w:style w:type="character" w:styleId="TextkrperZchn" w:customStyle="1">
    <w:name w:val="Textkörper Zchn"/>
    <w:basedOn w:val="DefaultParagraphFont"/>
    <w:uiPriority w:val="1"/>
    <w:qFormat/>
    <w:rsid w:val="00236d9d"/>
    <w:rPr>
      <w:rFonts w:ascii="Arial Narrow" w:hAnsi="Arial Narrow" w:eastAsia="Arial Narrow"/>
      <w:sz w:val="16"/>
      <w:szCs w:val="16"/>
      <w:lang w:val="ro-RO"/>
    </w:rPr>
  </w:style>
  <w:style w:type="character" w:styleId="Internetovodkaz">
    <w:name w:val="Internetový odkaz"/>
    <w:basedOn w:val="DefaultParagraphFont"/>
    <w:uiPriority w:val="99"/>
    <w:unhideWhenUsed/>
    <w:rsid w:val="005e1672"/>
    <w:rPr>
      <w:color w:val="0563C1" w:themeColor="hyperlink"/>
      <w:u w:val="single"/>
    </w:rPr>
  </w:style>
  <w:style w:type="character" w:styleId="UnresolvedMention">
    <w:name w:val="Unresolved Mention"/>
    <w:basedOn w:val="DefaultParagraphFont"/>
    <w:uiPriority w:val="99"/>
    <w:semiHidden/>
    <w:unhideWhenUsed/>
    <w:qFormat/>
    <w:rsid w:val="005e1672"/>
    <w:rPr>
      <w:color w:val="808080"/>
      <w:shd w:fill="E6E6E6" w:val="clear"/>
    </w:rPr>
  </w:style>
  <w:style w:type="character" w:styleId="SprechblasentextZchn" w:customStyle="1">
    <w:name w:val="Sprechblasentext Zchn"/>
    <w:basedOn w:val="DefaultParagraphFont"/>
    <w:uiPriority w:val="99"/>
    <w:semiHidden/>
    <w:qFormat/>
    <w:rsid w:val="00c913e4"/>
    <w:rPr>
      <w:rFonts w:ascii="Segoe UI" w:hAnsi="Segoe UI" w:cs="Segoe UI"/>
      <w:sz w:val="18"/>
      <w:szCs w:val="18"/>
    </w:rPr>
  </w:style>
  <w:style w:type="character" w:styleId="Tlidtranslation" w:customStyle="1">
    <w:name w:val="tlid-translation"/>
    <w:basedOn w:val="DefaultParagraphFont"/>
    <w:qFormat/>
    <w:rsid w:val="00492e90"/>
    <w:rPr/>
  </w:style>
  <w:style w:type="character" w:styleId="Odrky">
    <w:name w:val="Odrážky"/>
    <w:qFormat/>
    <w:rPr>
      <w:rFonts w:ascii="OpenSymbol" w:hAnsi="OpenSymbol" w:eastAsia="OpenSymbol" w:cs="OpenSymbol"/>
    </w:rPr>
  </w:style>
  <w:style w:type="paragraph" w:styleId="Nadpis">
    <w:name w:val="Nadpis"/>
    <w:basedOn w:val="Normal"/>
    <w:next w:val="Telotextu"/>
    <w:qFormat/>
    <w:pPr>
      <w:keepNext w:val="true"/>
      <w:spacing w:before="240" w:after="120"/>
    </w:pPr>
    <w:rPr>
      <w:rFonts w:ascii="Liberation Sans" w:hAnsi="Liberation Sans" w:eastAsia="Noto Sans CJK SC" w:cs="Lohit Devanagari"/>
      <w:sz w:val="28"/>
      <w:szCs w:val="28"/>
    </w:rPr>
  </w:style>
  <w:style w:type="paragraph" w:styleId="Telotextu">
    <w:name w:val="Body Text"/>
    <w:basedOn w:val="Normal"/>
    <w:link w:val="TextkrperZchn"/>
    <w:uiPriority w:val="1"/>
    <w:qFormat/>
    <w:rsid w:val="00236d9d"/>
    <w:pPr>
      <w:widowControl w:val="false"/>
      <w:spacing w:lineRule="auto" w:line="240" w:before="0" w:after="0"/>
      <w:ind w:left="125" w:hanging="0"/>
    </w:pPr>
    <w:rPr>
      <w:rFonts w:ascii="Arial Narrow" w:hAnsi="Arial Narrow" w:eastAsia="Arial Narrow"/>
      <w:sz w:val="16"/>
      <w:szCs w:val="16"/>
      <w:lang w:val="ro-RO"/>
    </w:rPr>
  </w:style>
  <w:style w:type="paragraph" w:styleId="Zoznam">
    <w:name w:val="List"/>
    <w:basedOn w:val="Telotextu"/>
    <w:pPr/>
    <w:rPr>
      <w:rFonts w:cs="Lohit Devanagari"/>
    </w:rPr>
  </w:style>
  <w:style w:type="paragraph" w:styleId="Popis">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lavikaapta">
    <w:name w:val="Hlavička a päta"/>
    <w:basedOn w:val="Normal"/>
    <w:qFormat/>
    <w:pPr/>
    <w:rPr/>
  </w:style>
  <w:style w:type="paragraph" w:styleId="Zhlavie">
    <w:name w:val="Header"/>
    <w:basedOn w:val="Normal"/>
    <w:link w:val="KopfzeileZchn"/>
    <w:uiPriority w:val="99"/>
    <w:unhideWhenUsed/>
    <w:rsid w:val="00236d9d"/>
    <w:pPr>
      <w:tabs>
        <w:tab w:val="clear" w:pos="708"/>
        <w:tab w:val="center" w:pos="4536" w:leader="none"/>
        <w:tab w:val="right" w:pos="9072" w:leader="none"/>
      </w:tabs>
      <w:spacing w:lineRule="auto" w:line="240" w:before="0" w:after="0"/>
    </w:pPr>
    <w:rPr/>
  </w:style>
  <w:style w:type="paragraph" w:styleId="Pta">
    <w:name w:val="Footer"/>
    <w:basedOn w:val="Normal"/>
    <w:link w:val="FuzeileZchn"/>
    <w:uiPriority w:val="99"/>
    <w:unhideWhenUsed/>
    <w:rsid w:val="00236d9d"/>
    <w:pPr>
      <w:tabs>
        <w:tab w:val="clear" w:pos="708"/>
        <w:tab w:val="center" w:pos="4536" w:leader="none"/>
        <w:tab w:val="right" w:pos="9072" w:leader="none"/>
      </w:tabs>
      <w:spacing w:lineRule="auto" w:line="240" w:before="0" w:after="0"/>
    </w:pPr>
    <w:rPr/>
  </w:style>
  <w:style w:type="paragraph" w:styleId="BalloonText">
    <w:name w:val="Balloon Text"/>
    <w:basedOn w:val="Normal"/>
    <w:link w:val="SprechblasentextZchn"/>
    <w:uiPriority w:val="99"/>
    <w:semiHidden/>
    <w:unhideWhenUsed/>
    <w:qFormat/>
    <w:rsid w:val="00c913e4"/>
    <w:pPr>
      <w:spacing w:lineRule="auto" w:line="240" w:before="0" w:after="0"/>
    </w:pPr>
    <w:rPr>
      <w:rFonts w:ascii="Segoe UI" w:hAnsi="Segoe UI" w:cs="Segoe UI"/>
      <w:sz w:val="18"/>
      <w:szCs w:val="18"/>
    </w:rPr>
  </w:style>
  <w:style w:type="paragraph" w:styleId="Obsahtabuky">
    <w:name w:val="Obsah tabuľky"/>
    <w:basedOn w:val="Normal"/>
    <w:qFormat/>
    <w:pPr>
      <w:suppressLineNumbers/>
    </w:pPr>
    <w:rPr/>
  </w:style>
  <w:style w:type="paragraph" w:styleId="Nadpistabuky">
    <w:name w:val="Nadpis tabuľky"/>
    <w:basedOn w:val="Obsahtabuky"/>
    <w:qFormat/>
    <w:pPr>
      <w:suppressLineNumbers/>
      <w:jc w:val="center"/>
    </w:pPr>
    <w:rPr>
      <w:b/>
      <w:bCs/>
    </w:rPr>
  </w:style>
  <w:style w:type="paragraph" w:styleId="ListParagraph">
    <w:name w:val="List Paragraph"/>
    <w:basedOn w:val="Normal"/>
    <w:qFormat/>
    <w:pPr>
      <w:spacing w:lineRule="auto" w:line="240" w:before="0" w:after="200"/>
      <w:ind w:left="720" w:hanging="0"/>
      <w:contextualSpacing/>
    </w:pPr>
    <w:rPr>
      <w:rFonts w:ascii="Calibri" w:hAnsi="Calibri" w:eastAsia="Calibri" w:cs="Times New Roman"/>
      <w:lang w:val="ro-RO"/>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04032-4C04-4C26-8497-EC73BA538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1110</TotalTime>
  <Application>LibreOffice/7.3.7.2$Linux_X86_64 LibreOffice_project/30$Build-2</Application>
  <AppVersion>15.0000</AppVersion>
  <Pages>2</Pages>
  <Words>1303</Words>
  <Characters>7107</Characters>
  <CharactersWithSpaces>8309</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2020-03-26T13:05:00Z</dcterms:created>
  <dc:creator>Sprenger</dc:creator>
  <dc:description/>
  <dc:language>sk-SK</dc:language>
  <cp:lastModifiedBy/>
  <cp:lastPrinted>2019-10-31T10:14:00Z</cp:lastPrinted>
  <dcterms:modified xsi:type="dcterms:W3CDTF">2025-06-13T11:25:01Z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