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Właściwości i sposób użycia</w:t>
      </w:r>
    </w:p>
    <w:p>
      <w:pPr>
        <w:pStyle w:val="Telotextu"/>
        <w:spacing w:before="0" w:after="8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tynkowanie wszelkiego rodzaju materiałów murowych, zwłaszcza podłoży ceglanych, gazobetonów i kształtek betonowych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przy renowacjach i dociepleniach można go nakładać bezpośrednio na gruboziarniste tynki brizolitowe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ograniczenie ucieczki ciepła z obiektu poprzez opór cieplny konstrukcji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ograniczenie ucieczki ciepła z budynku na skutek mostków termicznych w ścianach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nie utrudnia usuwania wilgoci z muru ze względu na współczynnik oporu dyfuzyjnego pary wodnej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tynkowanie mechaniczne i ręczne w środowiskach zewnętrznych i wewnętrznych</w:t>
      </w:r>
    </w:p>
    <w:p>
      <w:pPr>
        <w:pStyle w:val="Telotextu"/>
        <w:spacing w:before="0" w:after="80"/>
        <w:ind w:left="125" w:hanging="0"/>
        <w:jc w:val="both"/>
        <w:rPr>
          <w:color w:val="5E5E5E"/>
        </w:rPr>
      </w:pPr>
      <w:r>
        <w:rPr>
          <w:color w:val="5E5E5E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Kompozycja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pacing w:val="-1"/>
          <w:sz w:val="16"/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Cement portlandzki, wypełniacze mineralne, wypełniacze lekkie, dodatki chemiczne.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Parametry techniczne</w:t>
      </w:r>
    </w:p>
    <w:tbl>
      <w:tblPr>
        <w:tblW w:w="3148" w:type="dxa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20"/>
        <w:gridCol w:w="651"/>
        <w:gridCol w:w="1104"/>
        <w:gridCol w:w="572"/>
      </w:tblGrid>
      <w:tr>
        <w:trPr/>
        <w:tc>
          <w:tcPr>
            <w:tcW w:w="31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Tynk termoizolacyjny do tynków zewnętrznych (T) wg EN 998-1:2003, kategoria CSI, W2, T1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nakładany ręcznie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Wytrzymałość na ściskanie (kategoria CS I)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Masa objętościowa stwardniałej zaprawy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400-410 kg/m </w:t>
            </w:r>
            <w:r>
              <w:rPr>
                <w:rFonts w:cs="Arial"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3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Przyczepność – metoda odrywania (B)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0,04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Współczynnik przewodności cieplnej λ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&lt;T1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Współczynnik oporu dyfuzyjnego pary wodnej μ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8 (EN 1745)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Czas przetwarzania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minut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Reakcja na ogień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Telotextu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Informacyjny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nakładany ręcznie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Szczegółowość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Ilość wody zarobowej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0,5-0,55 l/kg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Wydajność przy warstwie 10 mm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4,0-4,5 kg/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m2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Zalecana maksymalna grubość aplikacji jednej warstwy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Maksymalna grubość tynku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Według oceny statycznej</w:t>
            </w:r>
          </w:p>
        </w:tc>
      </w:tr>
      <w:tr>
        <w:trPr>
          <w:trHeight w:val="404" w:hRule="atLeast"/>
        </w:trPr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Minimalna temperatura podłoża i powietrza oraz tynku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00"/>
        <w:gridCol w:w="665"/>
        <w:gridCol w:w="1053"/>
        <w:gridCol w:w="581"/>
      </w:tblGrid>
      <w:tr>
        <w:trPr/>
        <w:tc>
          <w:tcPr>
            <w:tcW w:w="309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Tynk termoizolacyjny do tynków zewnętrznych (T) wg EN 998-1:2003, kategoria CSI, W2, T1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nakładane maszynowo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Wytrzymałość na ściskanie (kategoria CS I)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Masa objętościowa stwardniałej zaprawy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350 - 400 kg/m3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Przyczepność – metoda odrywania (B)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&gt;0,04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Współczynnik przewodności cieplnej λ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&lt;T1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Współczynnik oporu dyfuzyjnego pary wodnej μ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&lt;8 (EN 174)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Czas przetwarzania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minut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Reakcja na ogień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Informacyjny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zastosowana maszyna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Szczegółowość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Ilość wody zarobowej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 zależności od rodzaju maszyny tynkarskiej l/kg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Wydajność przy warstwie 10 mm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4,2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Maksymalna grubość aplikacji jednej warstwy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Maksymalna grubość tynku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Według oceny statycznej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Minimalna temperatura podłoża i powietrza oraz tynku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sz w:val="16"/>
          <w:szCs w:val="16"/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rFonts w:ascii="Arial Narrow" w:hAnsi="Arial Narrow"/>
          <w:color w:val="5E5E5E"/>
          <w:sz w:val="16"/>
          <w:szCs w:val="16"/>
          <w:lang w:val="sk-SK" w:eastAsia="en-US" w:bidi="ar-SA"/>
        </w:rPr>
        <w:t>UWAGA: Parametry techniczne zostały określone w warunkach normalnych (20 ± 2) °C i (65 ± 5) °C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Przygotowanie tła</w:t>
      </w:r>
    </w:p>
    <w:p>
      <w:pPr>
        <w:pStyle w:val="Telotextu"/>
        <w:spacing w:before="0" w:after="0"/>
        <w:ind w:left="0" w:right="57" w:hanging="0"/>
        <w:jc w:val="both"/>
        <w:rPr>
          <w:lang w:val="sk-SK" w:eastAsia="en-US" w:bidi="ar-SA"/>
        </w:rPr>
      </w:pPr>
      <w:r>
        <w:rPr>
          <w:color w:val="666666"/>
          <w:sz w:val="16"/>
          <w:szCs w:val="16"/>
          <w:lang w:val="sk-SK" w:eastAsia="en-US" w:bidi="ar-SA"/>
        </w:rPr>
        <w:t xml:space="preserve">Podłoże musi być mocne i nośne, wolne od kurzu, resztek farb, wapna i tłuszczu. Nie może być wodoodporny. Jeżeli obecne podłoże zostało w przeszłości pokryte powłoką kryjącą, należy ją usunąć mechanicznie do pierwotnego tynku lub nawet do znajdującego się pod nim muru. Do usuwania takich warstw nadają się maszyny drapiące wyposażone w odpowiednie dyski aplikacyjne. W przypadku naruszonych, kruchych warstw podłoża należy zastosować warstwę wapienno-cementową wzmacniającą lub warstwę wzmacniającą cement i powłokę penetrującą. Mur musi być wystarczająco dojrzały, bez zmian objętości. </w:t>
      </w:r>
      <w:r>
        <w:rPr>
          <w:b/>
          <w:color w:val="666666"/>
          <w:sz w:val="16"/>
          <w:szCs w:val="16"/>
          <w:lang w:val="sk-SK" w:eastAsia="en-US" w:bidi="ar-SA"/>
        </w:rPr>
        <w:t xml:space="preserve">Podłoża chłonne przed aplikacją należy zagruntować - FixPlus / StuccoPrimer. </w:t>
      </w:r>
      <w:r>
        <w:rPr>
          <w:color w:val="666666"/>
          <w:sz w:val="16"/>
          <w:szCs w:val="16"/>
          <w:lang w:val="sk-SK" w:eastAsia="en-US" w:bidi="ar-SA"/>
        </w:rPr>
        <w:t>Aby zachować płaskość elewacji, zalecamy nakładanie tynku zawsze pomiędzy pasami tynku.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Przetwarzanie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szCs w:val="16"/>
          <w:lang w:val="sk-SK" w:eastAsia="en-US" w:bidi="ar-SA"/>
        </w:rPr>
        <w:t xml:space="preserve">a) Nakładanie ręczne </w:t>
      </w:r>
      <w:r>
        <w:rPr>
          <w:color w:val="5E5E5E"/>
          <w:sz w:val="16"/>
          <w:szCs w:val="16"/>
          <w:lang w:val="sk-SK" w:eastAsia="en-US" w:bidi="ar-SA"/>
        </w:rPr>
        <w:t>- Tynk miesza się z przepisaną ilością wody zarobowej za pomocą miksera ręcznego przez co najmniej 4 minuty, do uzyskania jednolitej konsystencji, bez grudek. Pozostawić zaprawę na 5 minut, a następnie ponownie dokładnie wymieszać. Nie mieszać w mikserze kroplowym!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WAŻNY! </w:t>
      </w:r>
      <w:r>
        <w:rPr>
          <w:color w:val="5E5E5E"/>
          <w:sz w:val="16"/>
          <w:lang w:val="sk-SK" w:eastAsia="en-US" w:bidi="ar-SA"/>
        </w:rPr>
        <w:t>Aby zapewnić jednolitą konsystencję zaprawy podczas aplikacji należy zużyć całą zawartość worka. Zaleca się, aby przy nakładaniu tynku na większą powierzchnię zawsze wymieszać w odpowiednim pojemniku co najmniej 3 worki tynku, którym zaczniemy nakładanie tynku na ścianę. W momencie, gdy w pojemniku pozostanie mniej więcej ostatnia 1/3 zaprawy, wsypać jeszcze dwa worki tynku i ponownie wymieszać z wodą do uzyskania jednolitej konsystencji. Częściowe wykorzystanie zawartości worka jest niedozwolone. Wyznacznikiem prawidłowo przygotowanej zaprawy jest jej jednolita gęstość bez grudek i zdolność trzymania się odwróconej metalowej pacy lub łyżki.</w:t>
      </w:r>
      <w:r>
        <w:rPr>
          <w:color w:val="5E5E5E"/>
          <w:lang w:val="sk-SK" w:eastAsia="en-US" w:bidi="ar-SA"/>
        </w:rPr>
        <w:t>  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Podczas aplikacji wyrównujemy tynk pacą plastikową. Tynk IsoTex R70 posiada efekt „baranka” przy grubości ziarna do 2 mm. Po 48 godzinach zaleca się wykonanie penetracji pod powłokę FixPlus, a następnie nałożenie powłoki ThermoShield®.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b) Nakładanie maszynowe </w:t>
      </w:r>
      <w:r>
        <w:rPr>
          <w:color w:val="5E5E5E"/>
          <w:sz w:val="16"/>
          <w:lang w:val="sk-SK" w:eastAsia="en-US" w:bidi="ar-SA"/>
        </w:rPr>
        <w:t>- W przypadku nakładania tynków termoizolacyjnych przy użyciu maszyn tynkarskich ze zintegrowaną strefą mieszania obowiązują następujące ustawienia:</w:t>
      </w:r>
      <w:r>
        <w:rPr>
          <w:color w:val="5E5E5E"/>
          <w:lang w:val="sk-SK" w:eastAsia="en-US" w:bidi="ar-SA"/>
        </w:rPr>
        <w:t>  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  <w:t xml:space="preserve">• </w:t>
      </w:r>
      <w:r>
        <w:rPr>
          <w:color w:val="5E5E5E"/>
          <w:sz w:val="16"/>
          <w:szCs w:val="16"/>
          <w:lang w:val="sk-SK" w:eastAsia="en-US" w:bidi="ar-SA"/>
        </w:rPr>
        <w:t>Dysza: nie. 16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Wysokość słupa wody: 400-500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color w:val="C9211E"/>
        </w:rPr>
      </w:pPr>
      <w:r>
        <w:rPr>
          <w:b/>
          <w:bCs/>
          <w:color w:val="C9211E"/>
          <w:sz w:val="16"/>
          <w:lang w:val="sk-SK" w:eastAsia="en-US" w:bidi="ar-SA"/>
        </w:rPr>
        <w:t xml:space="preserve">OSTRZEŻENIE </w:t>
      </w:r>
      <w:r>
        <w:rPr>
          <w:color w:val="C9211E"/>
          <w:sz w:val="16"/>
          <w:lang w:val="sk-SK" w:eastAsia="en-US" w:bidi="ar-SA"/>
        </w:rPr>
        <w:t>: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EN 13914-1 dotyczy projektowania, przygotowania i wykonywania tynków zewnętrznych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Niedozwolone jest dodatkowe dodawanie spoiw, wypełniaczy i innych składników lub przesiewanie mieszanki.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 xml:space="preserve">Mieszankę można obrabiać wyłącznie </w:t>
      </w:r>
      <w:r>
        <w:rPr>
          <w:b/>
          <w:bCs/>
          <w:color w:val="C9211E"/>
          <w:sz w:val="16"/>
          <w:lang w:val="sk-SK" w:eastAsia="en-US" w:bidi="ar-SA"/>
        </w:rPr>
        <w:t xml:space="preserve">w temperaturze powietrza i podłoża od +8°C do 25 </w:t>
      </w:r>
      <w:r>
        <w:rPr>
          <w:rFonts w:eastAsia="Arial Narrow" w:cs=""/>
          <w:b/>
          <w:bCs/>
          <w:color w:val="C9211E"/>
          <w:kern w:val="0"/>
          <w:sz w:val="16"/>
          <w:szCs w:val="16"/>
          <w:lang w:val="sk-SK" w:eastAsia="en-US" w:bidi="ar-SA"/>
        </w:rPr>
        <w:t xml:space="preserve">°C </w:t>
      </w:r>
      <w:r>
        <w:rPr>
          <w:b/>
          <w:bCs/>
          <w:color w:val="C9211E"/>
          <w:sz w:val="16"/>
          <w:lang w:val="sk-SK" w:eastAsia="en-US" w:bidi="ar-SA"/>
        </w:rPr>
        <w:t xml:space="preserve">!!! </w:t>
      </w:r>
      <w:r>
        <w:rPr>
          <w:color w:val="5E5E5E"/>
          <w:sz w:val="16"/>
          <w:lang w:val="sk-SK" w:eastAsia="en-US" w:bidi="ar-SA"/>
        </w:rPr>
        <w:t>Nie stosować w przypadku przewidywanych przymrozków!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Do mieszania mieszaniny należy używać wody pitnej lub wody zgodnej z EN1008.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Likwidacja produktu: Zużyte opakowanie należy wyrzucić do autoryzowanego składowiska odpadów. Niezużyty materiał pozostawić do stwardnienia i wyrzucić na wysypisko odpadów komunalnych. Przygotowanie własne - kod odpadu 101311 Odpady innych materiałów zmieszanych niewymienione pod numerami 101309 i 101310. Materiał utwardzony - kod odpadu 170904 Zmieszane odpady budowlane i rozbiórkowe niewymienione pod numerami 170901, 170902 i 170903.</w:t>
      </w:r>
      <w:r>
        <w:rPr>
          <w:color w:val="5E5E5E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Pierwsza pomoc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W przypadku problemów zdrowotnych lub w przypadku wątpliwości należy poinformować lekarza.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W przypadku wdychania wyprowadzić poszkodowanego na świeże powietrze, w przypadku trudności w oddychaniu wezwać pomoc lekarską.</w:t>
      </w:r>
    </w:p>
    <w:p>
      <w:pPr>
        <w:pStyle w:val="Telotextu"/>
        <w:spacing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W przypadku kontaktu ze skórą przemyć skórę czystą wodą i mydłem. Nałóż na podrażnione miejsca krem naprawczy.</w:t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W przypadku dostania się preparatu do oczu, natychmiast przemyć otwarte powieki strumieniem czystej wody przez 15 minut. a następnie zwrócić się o pomoc lekarską.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W przypadku połknięcia przepłukać usta wodą, wypić 0,5 litra wody i zwrócić się o pomoc lekarską. Nie wywoływać wymiotów.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Lek może powodować reakcję alergiczną w kontakcie ze skórą. Jeżeli objawy jakiegokolwiek uderzenia (podrażnienia) spowodowane kontaktem z produktem nie ustępują po udzieleniu pierwszej pomocy, należy zwrócić się o pomoc lekarską.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Przechowywać w miejscu niedostępnym dla dzieci!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Przepisy bezpieczeństwa i higieny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5E5E5E"/>
          <w:spacing w:val="-3"/>
          <w:sz w:val="16"/>
          <w:lang w:val="sk-SK" w:eastAsia="en-US" w:bidi="ar-SA"/>
        </w:rPr>
      </w:pPr>
      <w:r>
        <w:rPr/>
        <w:drawing>
          <wp:inline distT="0" distB="0" distL="0" distR="0">
            <wp:extent cx="622935" cy="622935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24205" cy="62420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Hasło ostrzegawcze: </w:t>
      </w:r>
      <w:r>
        <w:rPr>
          <w:rFonts w:ascii="Arial Narrow" w:hAnsi="Arial Narrow"/>
          <w:b/>
          <w:bCs/>
          <w:color w:val="5E5E5E"/>
          <w:sz w:val="16"/>
          <w:szCs w:val="16"/>
          <w:shd w:fill="auto" w:val="clear"/>
          <w:lang w:val="sk-SK"/>
        </w:rPr>
        <w:t>Niebezpieczeństwo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H315 </w:t>
        <w:tab/>
        <w:t>Działa drażniąco na skórę.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H318 </w:t>
        <w:tab/>
        <w:t>Powoduje poważne uszkodzenie oczu.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H335 </w:t>
        <w:tab/>
        <w:t>Może powodować podrażnienie dróg oddechowych.</w:t>
      </w:r>
    </w:p>
    <w:p>
      <w:pPr>
        <w:pStyle w:val="Telotextu"/>
        <w:spacing w:before="0" w:after="80"/>
        <w:ind w:left="6" w:right="57" w:hanging="6"/>
        <w:jc w:val="both"/>
        <w:rPr>
          <w:color w:val="5E5E5E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5E5E5E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P101 </w:t>
        <w:tab/>
        <w:t>Jeżeli konieczna jest pomoc lekarska, należy udostępnić opakowanie lub etykietę producenta.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P102 </w:t>
        <w:tab/>
        <w:t>Chronić przed dziećmi.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P261 </w:t>
        <w:tab/>
        <w:t>Unikać wdychania pyłu.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P280 </w:t>
        <w:tab/>
        <w:t>Stosować rękawice ochronne/odzież ochronną/okulary ochronne/osłonę twarzy.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P305+P351+P338: W PRZYPADKU DOSTANIA SIĘ DO OCZU: Ostrożnie płukać wodą przez kilka minut. Wyjmij soczewki kontaktowe, jeśli są noszone i wyjmij je, jeśli to możliwe. Kontynuuj płukanie.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P310: Natychmiast skontaktować się z OŚRODKIEM ZATRUĆ lub lekarzem.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P302+P352: W PRZYPADKU KONTAKTU ZE SKÓRĄ: Umyć dużą ilością wody z mydłem. W przypadku podrażnienia skóry lub wysypki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P333+P313: Zapewnić pomoc lekarską.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P304+P340: W PRZYPADKU DOSTANIA SIĘ DO DRÓG ODDECHOWYCH: wyprowadzić osobę na świeże powietrze i zachować pozycję ułatwiającą oddychanie.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P312 W przypadku złego samopoczucia skontaktować się z OŚRODKIEM ZATRUĆ lub lekarzem.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pacing w:val="-3"/>
          <w:sz w:val="16"/>
          <w:szCs w:val="16"/>
          <w:shd w:fill="auto" w:val="clear"/>
          <w:lang w:val="sk-SK" w:eastAsia="en-US" w:bidi="ar-SA"/>
        </w:rPr>
        <w:t>P501 Zawartość/opakowanie usuwać w punkcie zbiórki wyznaczonym zgodnie z lokalnymi przepisami.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Składowanie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 xml:space="preserve">Produkt przechowywać w suchym miejscu, w oryginalnym opakowaniu - chronić przed uszkodzeniem, działaniem wody i wysoką wilgotnością względną. Przy zachowaniu podanych warunków termin przydatności do spożycia wynosi </w:t>
      </w:r>
      <w:r>
        <w:rPr>
          <w:color w:val="5E5E5E"/>
          <w:spacing w:val="-1"/>
          <w:sz w:val="16"/>
          <w:lang w:val="sk-SK" w:eastAsia="en-US" w:bidi="ar-SA"/>
        </w:rPr>
        <w:t>12</w:t>
      </w:r>
      <w:r>
        <w:rPr>
          <w:color w:val="5E5E5E"/>
          <w:spacing w:val="-1"/>
          <w:sz w:val="16"/>
          <w:lang w:val="sk-SK" w:eastAsia="en-US" w:bidi="ar-SA"/>
        </w:rPr>
        <w:t xml:space="preserve"> miesięcy od daty umieszczonej na opakowaniu.</w:t>
      </w:r>
      <w:r>
        <w:rPr>
          <w:color w:val="5E5E5E"/>
          <w:spacing w:val="-1"/>
          <w:lang w:val="sk-SK" w:eastAsia="en-US" w:bidi="ar-SA"/>
        </w:rPr>
        <w:t> 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Wyprawa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Sucha mieszanka dostarczana jest w workach papierowych na paletach przykrytych folią.</w:t>
      </w:r>
      <w:r>
        <w:rPr>
          <w:color w:val="5E5E5E"/>
          <w:spacing w:val="-1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Zrobiony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lang w:val="sk-SK" w:eastAsia="en-US" w:bidi="ar-SA"/>
        </w:rPr>
        <w:t>w UE dla SICC Coatings GmbH</w:t>
      </w:r>
    </w:p>
    <w:p>
      <w:pPr>
        <w:pStyle w:val="Normal"/>
        <w:shd w:val="clear" w:color="auto" w:fill="808080" w:themeFill="background1" w:themeFillShade="80"/>
        <w:spacing w:before="160" w:after="160"/>
        <w:rPr>
          <w:color w:themeColor="background1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Ważność</w:t>
      </w:r>
    </w:p>
    <w:p>
      <w:pPr>
        <w:pStyle w:val="Telotextu"/>
        <w:spacing w:before="0" w:after="80"/>
        <w:ind w:left="0" w:right="57" w:hanging="0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Od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Ponieważ użytkowanie i obróbka produktu nie podlega naszemu bezpośredniemu wpływowi, nie odpowiadamy za szkody spowodowane jego nieprawidłowym użytkowaniem. Zastrzegamy sobie prawo do zmian wynikających z postępu technicznego.</w:t>
      </w:r>
    </w:p>
    <w:p>
      <w:pPr>
        <w:pStyle w:val="Telotextu"/>
        <w:spacing w:before="0" w:after="80"/>
        <w:ind w:left="0" w:right="57" w:hanging="0"/>
        <w:rPr>
          <w:color w:val="5E5E5E"/>
        </w:rPr>
      </w:pPr>
      <w:r>
        <w:rPr>
          <w:color w:val="5E5E5E"/>
        </w:rPr>
      </w:r>
    </w:p>
    <w:p>
      <w:pPr>
        <w:sectPr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709" w:top="1418" w:footer="709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| Stoisko 26.03.2020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Karta techniczna: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R70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pl-PL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pl-PL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4032-4C04-4C26-8497-EC73BA5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LibreOffice/7.3.7.2$Linux_X86_64 LibreOffice_project/30$Build-2</Application>
  <AppVersion>15.0000</AppVersion>
  <Pages>2</Pages>
  <Words>1095</Words>
  <Characters>6968</Characters>
  <CharactersWithSpaces>7964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2020-03-26T13:05:00Z</dcterms:created>
  <dc:creator>Sprenger</dc:creator>
  <dc:description/>
  <dc:language>sk-SK</dc:language>
  <cp:lastModifiedBy/>
  <cp:lastPrinted>2019-10-31T10:14:00Z</cp:lastPrinted>
  <dcterms:modified xsi:type="dcterms:W3CDTF">2025-06-13T11:24:49Z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