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Eigenschappen en wijze van gebruik</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bepleistering van alle soorten metselwerk, vooral bakstenen ondergronden, cellenbeton en betonhulpstukken</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Bij renovatie en extra isolatie kan het rechtstreeks op grofkorrelige brizolietpleisters worden aangebracht</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beperking van warmtelekkage uit het object als gevolg van de thermische weerstand van de constructie</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beperking van warmtelekkage uit het gebouw door koudebruggen in de muren</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verhindert niet de verwijdering van vocht uit het metselwerk vanwege de diffusieweerstandsfactor van waterdamp</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mechanisch en handmatig stukadoorswerk in externe en interne omgevingen</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Samenstelling</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Portlandcement, minerale vulstoffen, lichtgewicht vulstoffen, chemische additieven.</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Technische parameters</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Thermische isolatiepleister voor buitenpleister (T) volgens EN 998-1: 2003, categorie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met de hand aangebracht</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Druksterkte (categorie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Volumegewicht van uitgeharde mortel</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 </w:t>
            </w:r>
            <w:r>
              <w:rPr>
                <w:rFonts w:cs="Arial" w:ascii="Arial Narrow" w:hAnsi="Arial Narrow"/>
                <w:color w:val="666666"/>
                <w:sz w:val="16"/>
                <w:szCs w:val="16"/>
                <w:vertAlign w:val="superscript"/>
                <w:lang w:val="sk-SK" w:eastAsia="en-US" w:bidi="ar-SA"/>
              </w:rPr>
              <w:t>m3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Hechting - afscheurmethode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Coëfficiënt van thermische geleidbaarheid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Waterdampdiffusieweerstandsfactor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Verwerkingstijd</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Reactie op brand</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Informatief</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met de hand aangebracht</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Granulariteit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Hoeveelheid aanmaakwater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Opbrengst bij een laag van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Aanbevolen maximale applicatiedikte van één laag</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Maximale pleisterdikte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Volgens statische beoordeling</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Minimale temperatuur van de ondergrond en lucht en gips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Thermische isolatiepleister voor buitenpleister (T) volgens EN 998-1: 2003, categorie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machinaal aangebracht</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Druksterkte (categorie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Volumegewicht van uitgeharde mortel</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Hechting - afscheurmethode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Coëfficiënt van thermische geleidbaarheid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Waterdampdiffusieweerstandsfactor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Verwerkingstijd</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Reactie op brand</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Informatief</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machine toegepast</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Granulariteit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Hoeveelheid aanmaakwater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Afhankelijk van het type pleistermachine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Opbrengst bij een laag van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Maximale applicatiedikte van één laag</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Maximale pleisterdikte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Volgens statische beoordeling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Minimale temperatuur van de ondergrond en lucht en gips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OPMERKING: Technische parameters worden bepaald onder normale omstandigheden (20 ± 2) °C en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Voorbereiding van de achtergrond</w:t>
      </w:r>
    </w:p>
    <w:p>
      <w:pPr>
        <w:pStyle w:val="Telotextu"/>
        <w:spacing w:before="0" w:after="0"/>
        <w:ind w:left="0" w:right="57" w:hanging="0"/>
        <w:jc w:val="both"/>
        <w:rPr>
          <w:lang w:val="sk-SK" w:eastAsia="en-US" w:bidi="ar-SA"/>
        </w:rPr>
      </w:pPr>
      <w:r>
        <w:rPr>
          <w:color w:val="666666"/>
          <w:sz w:val="16"/>
          <w:szCs w:val="16"/>
          <w:lang w:val="sk-SK" w:eastAsia="en-US" w:bidi="ar-SA"/>
        </w:rPr>
        <w:t xml:space="preserve">De ondergrond moet sterk en draagkrachtig zijn, vrij van stof, verfresten, kalk en vet. Mag niet waterafstotend zijn. Indien de huidige ondergrond in het verleden is voorzien van een dekkende coating, dient deze mechanisch te worden verwijderd tot op de originele pleister, of zelfs tot op het onderliggende metselwerk. Voor het verwijderen van dergelijke lagen zijn krabmachines met geschikte applicatieschijven geschikt. Bij verstoorde, brosse basislagen is het noodzakelijk een versterkende kalk-cement- of cementversterkingslaag en een penetratielaag aan te brengen. Het metselwerk moet voldoende gerijpt zijn, zonder volumeveranderingen. </w:t>
      </w:r>
      <w:r>
        <w:rPr>
          <w:b/>
          <w:color w:val="666666"/>
          <w:sz w:val="16"/>
          <w:szCs w:val="16"/>
          <w:lang w:val="sk-SK" w:eastAsia="en-US" w:bidi="ar-SA"/>
        </w:rPr>
        <w:t xml:space="preserve">Zuigende ondergronden moeten vóór het aanbrengen worden gegrondeerd - FixPlus / StuccoPrimer. </w:t>
      </w:r>
      <w:r>
        <w:rPr>
          <w:color w:val="666666"/>
          <w:sz w:val="16"/>
          <w:szCs w:val="16"/>
          <w:lang w:val="sk-SK" w:eastAsia="en-US" w:bidi="ar-SA"/>
        </w:rPr>
        <w:t>Om de vlakheid van de gevel te behouden raden wij aan om de pleister altijd tussen pleisterstroken aan te brengen.</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Verwerking</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Handmatig aanbrengen </w:t>
      </w:r>
      <w:r>
        <w:rPr>
          <w:color w:val="5E5E5E"/>
          <w:sz w:val="16"/>
          <w:szCs w:val="16"/>
          <w:lang w:val="sk-SK" w:eastAsia="en-US" w:bidi="ar-SA"/>
        </w:rPr>
        <w:t>- De pleister wordt met een handmixer in de voorgeschreven hoeveelheid aanmaakwater gedurende minimaal 4 minuten gemengd tot een homogene consistentie, zonder klontjes. Laat het mortelmengsel 5 minuten staan en meng vervolgens opnieuw grondig. Niet in een druppelmixer mengen!</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BELANGRIJK! </w:t>
      </w:r>
      <w:r>
        <w:rPr>
          <w:color w:val="5E5E5E"/>
          <w:sz w:val="16"/>
          <w:lang w:val="sk-SK" w:eastAsia="en-US" w:bidi="ar-SA"/>
        </w:rPr>
        <w:t>Om een homogene consistentie van de mortel tijdens het aanbrengen te garanderen, is het noodzakelijk om de volledige inhoud van het zakje te gebruiken. Het wordt aanbevolen om bij het aanbrengen van gips op een grotere oppervlakte altijd minimaal 3 zakken gips in een geschikte container te mengen, die u op de muur gaat aanbrengen. Op het moment dat ongeveer het laatste derde deel van de mortel in de container achterblijft, voegt u nog twee zakken gips toe en mengt u het mengsel opnieuw met water tot een homogene consistentie. Gedeeltelijk gebruik van de inhoud van de tas is niet toegestaan. Een indicator voor goed voorbereide mortel is de uniforme dichtheid zonder klontjes en het vermogen om een omgekeerde metalen troffel of lepel vast te houden.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Tijdens het aanbrengen passen we de pleister aan met een kunststofspaan. IsoTex R70 pleister heeft een "lams"-effect met een korreldikte tot 2 mm. Na 48 uur wordt aanbevolen om de penetratie onder de FixPlus coating aan te brengen en daarna de ThermoShield® coating aan te brengen.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Machinaal aanbrengen </w:t>
      </w:r>
      <w:r>
        <w:rPr>
          <w:color w:val="5E5E5E"/>
          <w:sz w:val="16"/>
          <w:lang w:val="sk-SK" w:eastAsia="en-US" w:bidi="ar-SA"/>
        </w:rPr>
        <w:t>- Voor het aanbrengen van warmte-isolerende pleisters bij gebruik van pleistermachines met geïntegreerde mengzone gelden de volgende instellingen:</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Mondstuk: nee.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Hoogte van de waterkolom: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WAARSCHUWING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is van toepassing op het ontwerp, de voorbereiding en de uitvoering van buitenpleisterwerk</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Het extra toevoegen van bindmiddelen, vulstoffen en andere ingrediënten of het doorzeven van het mengsel is niet toegestaan.</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Het mengsel kan alleen verwerkt worden </w:t>
      </w:r>
      <w:r>
        <w:rPr>
          <w:b/>
          <w:bCs/>
          <w:color w:val="C9211E"/>
          <w:sz w:val="16"/>
          <w:lang w:val="sk-SK" w:eastAsia="en-US" w:bidi="ar-SA"/>
        </w:rPr>
        <w:t xml:space="preserve">bij een lucht- en ondergrondtemperatuur van +8°C tot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Niet gebruiken als er vorst verwacht wordt!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Er moet drinkwater of water conform EN1008 worden gebruikt om het mengsel te mengen.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Verwijdering van het product: Gooi de gebruikte verpakking weg bij een erkende afvalstortplaats. Laat het ongebruikte materiaal uitharden en plaats het op een gemeentelijke afvalstortplaats. Eigen bereiding - afvalcode 101311 Afval van overige gemengde materialen, niet vermeld onder de nummers 101309 en 101310. Gehard materiaal - afvalcode 170904 Gemengd bouw- en sloopafval, niet vermeld onder de nummers 170901, 170902 en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E.H.B.O.</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Bij gezondheidsproblemen of bij twijfel de arts waarschuwen.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Bij inademing de getroffen persoon in de frisse lucht brengen, bij ademhalingsmoeilijkheden medische hulp inroepen.</w:t>
      </w:r>
    </w:p>
    <w:p>
      <w:pPr>
        <w:pStyle w:val="Telotextu"/>
        <w:spacing w:before="0" w:after="192"/>
        <w:ind w:left="0" w:right="57" w:hanging="0"/>
        <w:jc w:val="both"/>
        <w:rPr>
          <w:lang w:val="sk-SK" w:eastAsia="en-US" w:bidi="ar-SA"/>
        </w:rPr>
      </w:pPr>
      <w:r>
        <w:rPr>
          <w:color w:val="5E5E5E"/>
          <w:lang w:val="sk-SK" w:eastAsia="en-US" w:bidi="ar-SA"/>
        </w:rPr>
        <w:t>Bij huidcontact de huid wassen met schoon water en zeep. Behandel geïrriteerde plekken met reparatiecrème.</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In geval van contact met de ogen, de oogleden onmiddellijk gedurende 15 minuten openspoelen met een stroom schoon water. en zoek dan medische hulp.</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Bij inslikken: spoel uw mond met water, drink 0,5 liter water en zoek medische hulp. Geen braken opwekken.</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Het medicijn kan bij contact met de huid een allergische reactie veroorzaken. Als de symptomen van een impact (irritatie) veroorzaakt door contact met het product niet verdwijnen na het verlenen van eerste hulp, zoek dan medische hulp.</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Buiten bereik van kinderen bewaren!</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Veiligheids- en hygiënevoorschriften</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Signaalwoord: </w:t>
      </w:r>
      <w:r>
        <w:rPr>
          <w:rFonts w:ascii="Arial Narrow" w:hAnsi="Arial Narrow"/>
          <w:b/>
          <w:bCs/>
          <w:color w:val="5E5E5E"/>
          <w:sz w:val="16"/>
          <w:szCs w:val="16"/>
          <w:shd w:fill="auto" w:val="clear"/>
          <w:lang w:val="sk-SK"/>
        </w:rPr>
        <w:t>Gevaar</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Irriterend voor de huid.</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Veroorzaakt ernstig oogletsel.</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Kan irritatie van de luchtwegen veroorzaken.</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Indien medische verzorging nodig is, zorg ervoor dat u de verpakking of het etiket van de fabrikant bij de hand hebt.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Buiten bereik van kinderen bewaren.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Vermijd inademen van stof.</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Beschermende handschoenen/beschermende kleding/veiligheidsbril/gelaatsscherm gebruiken.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BIJ CONTACT MET DE OGEN: voorzichtig afspoelen met water gedurende een aantal minuten. Verwijder contactlenzen, indien gedragen, en verwijder ze indien mogelijk. Ga door met spoelen.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Waarschuw onmiddellijk een ANTIGIFCENTRUM of een arts.</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BIJ CONTACT MET DE HUID: Met veel water en zeep wassen. In geval van huidirritatie of huiduitslag</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Medische hulp inroepen.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NA INADEMING: persoon in de frisse lucht brengen en in een houding houden die het ademen vergemakkelijkt.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Als u zich onwel voelt, een ANTIGIFCENTRUM of een arts raadplegen.</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Inhoud/verpakking afvoeren naar een inzamelpunt dat is aangewezen volgens de plaatselijke regelgeving.</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Opslag</w:t>
      </w:r>
    </w:p>
    <w:p>
      <w:pPr>
        <w:pStyle w:val="Telotextu"/>
        <w:spacing w:before="0" w:after="80"/>
        <w:ind w:left="0" w:right="57" w:hanging="0"/>
        <w:jc w:val="both"/>
        <w:rPr>
          <w:lang w:val="sk-SK" w:eastAsia="en-US" w:bidi="ar-SA"/>
        </w:rPr>
      </w:pPr>
      <w:r>
        <w:rPr>
          <w:color w:val="5E5E5E"/>
          <w:spacing w:val="-1"/>
          <w:sz w:val="16"/>
          <w:lang w:val="sk-SK" w:eastAsia="en-US" w:bidi="ar-SA"/>
        </w:rPr>
        <w:t xml:space="preserve">Bewaar het product op een droge plaats in de originele verpakking - bescherm tegen schade, blootstelling aan water en hoge relatieve vochtigheid. Als aan de gestelde voorwaarden wordt voldaan, bedraagt de houdbaarheid </w:t>
      </w:r>
      <w:r>
        <w:rPr>
          <w:color w:val="5E5E5E"/>
          <w:spacing w:val="-1"/>
          <w:sz w:val="16"/>
          <w:lang w:val="sk-SK" w:eastAsia="en-US" w:bidi="ar-SA"/>
        </w:rPr>
        <w:t>12</w:t>
      </w:r>
      <w:r>
        <w:rPr>
          <w:color w:val="5E5E5E"/>
          <w:spacing w:val="-1"/>
          <w:sz w:val="16"/>
          <w:lang w:val="sk-SK" w:eastAsia="en-US" w:bidi="ar-SA"/>
        </w:rPr>
        <w:t xml:space="preserve"> maanden vanaf de datum vermeld op de verpakking.</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Expeditie</w:t>
      </w:r>
    </w:p>
    <w:p>
      <w:pPr>
        <w:pStyle w:val="Telotextu"/>
        <w:spacing w:before="0" w:after="80"/>
        <w:ind w:left="0" w:right="57" w:hanging="0"/>
        <w:jc w:val="both"/>
        <w:rPr>
          <w:lang w:val="sk-SK" w:eastAsia="en-US" w:bidi="ar-SA"/>
        </w:rPr>
      </w:pPr>
      <w:r>
        <w:rPr>
          <w:color w:val="5E5E5E"/>
          <w:spacing w:val="-1"/>
          <w:sz w:val="16"/>
          <w:lang w:val="sk-SK" w:eastAsia="en-US" w:bidi="ar-SA"/>
        </w:rPr>
        <w:t>Het droge mengsel wordt geleverd in papieren zakken op pallets bedekt met folie.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Gemaakt</w:t>
      </w:r>
    </w:p>
    <w:p>
      <w:pPr>
        <w:pStyle w:val="Telotextu"/>
        <w:spacing w:lineRule="exact" w:line="183" w:before="0" w:after="80"/>
        <w:ind w:left="0" w:right="57" w:hanging="0"/>
        <w:jc w:val="both"/>
        <w:rPr>
          <w:lang w:val="sk-SK" w:eastAsia="en-US" w:bidi="ar-SA"/>
        </w:rPr>
      </w:pPr>
      <w:r>
        <w:rPr>
          <w:color w:val="5E5E5E"/>
          <w:spacing w:val="-1"/>
          <w:lang w:val="sk-SK" w:eastAsia="en-US" w:bidi="ar-SA"/>
        </w:rPr>
        <w:t>in de EU voor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Geldigheid</w:t>
      </w:r>
    </w:p>
    <w:p>
      <w:pPr>
        <w:pStyle w:val="Telotextu"/>
        <w:spacing w:before="0" w:after="80"/>
        <w:ind w:left="0" w:right="57" w:hanging="0"/>
        <w:rPr>
          <w:lang w:val="sk-SK" w:eastAsia="en-US" w:bidi="ar-SA"/>
        </w:rPr>
      </w:pPr>
      <w:r>
        <w:rPr>
          <w:color w:val="5E5E5E"/>
          <w:lang w:val="sk-SK" w:eastAsia="en-US" w:bidi="ar-SA"/>
        </w:rPr>
        <w:t>Vanaf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Omdat het gebruik en de verwerking van het product niet aan onze directe invloed onderhevig zijn, zijn wij niet verantwoordelijk voor schade veroorzaakt door onjuist gebruik. Wij behouden ons het recht voor om wijzigingen aan te brengen als gevolg van de technische vooruitgang.</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Technische fiche:</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nl-NL"/>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nl-NL"/>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nl-N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1230</Words>
  <Characters>7198</Characters>
  <CharactersWithSpaces>8327</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2025-06-13T11:24:30Z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