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Īpašības un lietošanas veids</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visu veidu mūra materiālu apmešana, īpaši ķieģeļu pamatnes, gāzbetona un betona furnitūra</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renovācijas un papildus siltināšanas laikā var uzklāt tieši uz rupjgraudainiem brizolīta apmetumiem</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siltuma noplūdes ierobežojums no objekta konstrukcijas termiskās pretestības dēļ</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siltuma noplūdes ierobežošana no ēkas sienu siltuma tiltu dēļ</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neaizkavē mitruma izvadīšanu no mūra ūdens tvaiku difūzijas pretestības faktora dēļ</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mehāniskā un manuālā apmešana ārējā un iekšējā vidē</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Sastāvs</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Portlandcements, minerālās pildvielas, vieglās pildvielas, ķīmiskās piedevas.</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Tehniskie parametri</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Siltumizolācijas apmetums ārējam apmetumam (T) saskaņā ar EN 998-1: 2003, kategorija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uzklāts ar roku</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Spiedes izturība (CS I kategorija)</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Cietinātās javas tilpuma svars</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kg/m </w:t>
            </w:r>
            <w:r>
              <w:rPr>
                <w:rFonts w:cs="Arial" w:ascii="Arial Narrow" w:hAnsi="Arial Narrow"/>
                <w:color w:val="666666"/>
                <w:sz w:val="16"/>
                <w:szCs w:val="16"/>
                <w:vertAlign w:val="superscript"/>
                <w:lang w:val="sk-SK" w:eastAsia="en-US" w:bidi="ar-SA"/>
              </w:rPr>
              <w:t>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Saķere — noraušanas metode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Siltumvadītspējas koeficients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Ūdens tvaiku difūzijas pretestības koeficients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Apstrādes laiks</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Reakcija uz uguni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Informatīvi</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uzklāts ar roku</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Granulitāte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Maisīšanas ūdens daudzums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Raža ar 10 mm slāni</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Ieteicamais maksimālais viena slāņa uzklāšanas biezums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Maksimālais apmetuma biezums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Pēc statiskā novērtējuma</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Pamatnes un gaisa un apmetuma minimālā temperatūra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Siltumizolācijas apmetums ārējam apmetumam (T) saskaņā ar EN 998-1: 2003, kategorija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uzklāj ar mašīnu</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Spiedes izturība (CS I kategorija)</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Cietinātās javas tilpuma svars</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Saķere — noraušanas metode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Siltumvadītspējas koeficients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Ūdens tvaiku difūzijas pretestības koeficients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Apstrādes laiks</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Reakcija uz uguni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Informatīvi</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pielietota mašīna</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Granulitāte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Maisīšanas ūdens daudzums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Atbilstoši apmetuma mašīnas tipam l / 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Raža ar 10 mm slāni</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Maksimālais viena slāņa uzklāšanas biezums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Maksimālais apmetuma biezums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Pēc statiskā novērtējuma</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Pamatnes un gaisa un apmetuma minimālā temperatūra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PIEZĪME: Tehniskos parametrus nosaka normālos apstākļos (20 ± 2) °C un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Fona sagatavošana</w:t>
      </w:r>
    </w:p>
    <w:p>
      <w:pPr>
        <w:pStyle w:val="Telotextu"/>
        <w:spacing w:before="0" w:after="0"/>
        <w:ind w:left="0" w:right="57" w:hanging="0"/>
        <w:jc w:val="both"/>
        <w:rPr>
          <w:lang w:val="sk-SK" w:eastAsia="en-US" w:bidi="ar-SA"/>
        </w:rPr>
      </w:pPr>
      <w:r>
        <w:rPr>
          <w:color w:val="666666"/>
          <w:sz w:val="16"/>
          <w:szCs w:val="16"/>
          <w:lang w:val="sk-SK" w:eastAsia="en-US" w:bidi="ar-SA"/>
        </w:rPr>
        <w:t xml:space="preserve">Pamatnei jābūt izturīgai un nesošai, bez putekļiem, krāsas atlikumiem, kaļķa un taukiem. Nedrīkst būt ūdeni atgrūdošs. Gadījumā, ja pašreizējai pamatnei agrāk tika uzklāts pārklājošais pārklājums, tas ir mehāniski jānoņem no sākotnējā apmetuma vai pat no apakšējā mūra. Šādu slāņu noņemšanai ir piemērotas skrāpēšanas mašīnas ar atbilstošiem uzklāšanas diskiem. Bojātu, irdenu pamatnes slāņu gadījumā nepieciešams uzklāt stiegrojošu kaļķa-cementa vai cementa stiegrojuma slāni un caurlaidības pārklājumu. Mūrim jābūt pietiekami nobriedušam, bez apjoma izmaiņām. </w:t>
      </w:r>
      <w:r>
        <w:rPr>
          <w:b/>
          <w:color w:val="666666"/>
          <w:sz w:val="16"/>
          <w:szCs w:val="16"/>
          <w:lang w:val="sk-SK" w:eastAsia="en-US" w:bidi="ar-SA"/>
        </w:rPr>
        <w:t xml:space="preserve">Absorbējošās pamatnes pirms uzklāšanas jāgruntē - FixPlus / StuccoPrimer. </w:t>
      </w:r>
      <w:r>
        <w:rPr>
          <w:color w:val="666666"/>
          <w:sz w:val="16"/>
          <w:szCs w:val="16"/>
          <w:lang w:val="sk-SK" w:eastAsia="en-US" w:bidi="ar-SA"/>
        </w:rPr>
        <w:t>Lai saglabātu fasādes līdzenumu, iesakām vienmēr apmetumu uzklāt starp apmetuma sloksnēm.</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Apstrāde</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Manuāla uzklāšana </w:t>
      </w:r>
      <w:r>
        <w:rPr>
          <w:color w:val="5E5E5E"/>
          <w:sz w:val="16"/>
          <w:szCs w:val="16"/>
          <w:lang w:val="sk-SK" w:eastAsia="en-US" w:bidi="ar-SA"/>
        </w:rPr>
        <w:t>– apmetumu iemaisa norādītajā maisīšanas ūdens daudzumā ar rokas mikseri vismaz 4 minūtes līdz viendabīgai konsistencei, bez kunkuļiem. Ļaujiet javas maisījumam nostāvēties 5 minūtes un pēc tam vēlreiz rūpīgi samaisiet. Nejauciet pilienu maisītājā!</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SVARĪGI! </w:t>
      </w:r>
      <w:r>
        <w:rPr>
          <w:color w:val="5E5E5E"/>
          <w:sz w:val="16"/>
          <w:lang w:val="sk-SK" w:eastAsia="en-US" w:bidi="ar-SA"/>
        </w:rPr>
        <w:t>Lai uzklāšanas laikā nodrošinātu viendabīgu javas konsistenci, nepieciešams izlietot visu maisa saturu. Ieteicams, uzklājot apmetumu uz lielāku laukumu, vienmēr piemērotā traukā jāsajauc vismaz 3 apmetuma maisiņi, kurus sāksiet klāt pie sienas. Brīdī, kad traukā paliek apmēram pēdējā trešdaļa javas, iemaisa vēl divos ģipša maisos un vēlreiz sajauc maisījumu ar ūdeni līdz viendabīgai konsistencei. Somas satura daļēja izmantošana nav atļauta. Pareizi sagatavotas javas rādītājs ir tās vienmērīgais blīvums bez kunkuļiem un spēja noturēties uz apgrieztas metāla špakteļlāpstiņas vai karotes.</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Uzklāšanas laikā apmetumu noregulējam ar plastmasas špakteļlāpstiņu. IsoTex R70 apmetumam ir "jēra" efekts ar graudu biezumu līdz 2 mm. Pēc 48 stundām ieteicams uzklāt iespiešanos zem FixPlus pārklājuma un pēc tam uzklāt ThermoShield® pārklājumu.</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Mašīnas uzklāšana </w:t>
      </w:r>
      <w:r>
        <w:rPr>
          <w:color w:val="5E5E5E"/>
          <w:sz w:val="16"/>
          <w:lang w:val="sk-SK" w:eastAsia="en-US" w:bidi="ar-SA"/>
        </w:rPr>
        <w:t>- Siltumizolējošu apmetumu uzklāšanai, izmantojot apmetuma iekārtas ar integrētu maisīšanas zonu, tiek piemēroti šādi iestatījumi:</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Sprausla: Nr.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Ūdens staba augstums: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BRĪDINĀJUMS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attiecas uz ārējā apmetuma projektēšanu, sagatavošanu un ieviešanu</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Nav atļauta papildu saistvielu, pildvielu un citu sastāvdaļu pievienošana vai sijāšana caur maisījumu.</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Maisījumu var apstrādāt tikai </w:t>
      </w:r>
      <w:r>
        <w:rPr>
          <w:b/>
          <w:bCs/>
          <w:color w:val="C9211E"/>
          <w:sz w:val="16"/>
          <w:lang w:val="sk-SK" w:eastAsia="en-US" w:bidi="ar-SA"/>
        </w:rPr>
        <w:t xml:space="preserve">gaisa un pamatnes temperatūrā no +8°C līdz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Nelietot, ja gaidāms sals!</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Maisījuma sajaukšanai jāizmanto dzeramais ūdens vai ūdens, kas atbilst EN1008.</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Izstrādājuma likvidēšana: izlietoto iepakojumu novietojiet autorizētā atkritumu izgāztuvē. Ļaujiet neizmantotajam materiālam sacietēt un novietojiet to sadzīves atkritumu izgāztuvē. Pašgatavots - atkritumu kods 101311 Atkritumi no citiem jauktiem materiāliem, kas nav uzskaitīti ar numuriem 101309 un 101310. Sacietējis materiāls - atkritumu kods 170904 Jaukti būvniecības un nojaukšanas atkritumi, kas nav uzskaitīti ar numuriem 170901, 170902 un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Pirmā palīdzība</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Veselības problēmu vai šaubu gadījumā informējiet ārstu.</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Ieelpošanas gadījumā cietušo pārvietot svaigā gaisā, apgrūtinātu elpošanu gadījumā izsaukt medicīnisko palīdzību.</w:t>
      </w:r>
    </w:p>
    <w:p>
      <w:pPr>
        <w:pStyle w:val="Telotextu"/>
        <w:spacing w:before="0" w:after="192"/>
        <w:ind w:left="0" w:right="57" w:hanging="0"/>
        <w:jc w:val="both"/>
        <w:rPr>
          <w:lang w:val="sk-SK" w:eastAsia="en-US" w:bidi="ar-SA"/>
        </w:rPr>
      </w:pPr>
      <w:r>
        <w:rPr>
          <w:color w:val="5E5E5E"/>
          <w:lang w:val="sk-SK" w:eastAsia="en-US" w:bidi="ar-SA"/>
        </w:rPr>
        <w:t>Ja nokļūst uz ādas, nomazgājiet ādu ar tīru ūdeni un ziepēm. Apstrādājiet kairinātās vietas ar atjaunojošu krēmu.</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Ja nokļūst acīs, nekavējoties 15 minūtes mazgāt plakstiņus ar tīra ūdens strūklu. un pēc tam meklēt medicīnisko palīdzību.</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Ja norīts, izskalojiet muti ar ūdeni, izdzeriet 0,5 litrus ūdens un meklējiet medicīnisko palīdzību. Neizraisiet vemšanu.</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Saskaroties ar ādu, zāles var izraisīt alerģisku reakciju. Ja pēc pirmās palīdzības sniegšanas neizzūd jebkāda trieciena (kairinājuma), ko izraisījusi saskare ar produktu, simptomi, meklēt medicīnisko palīdzību.</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Uzglabāt bērniem nepieejamā vietā!</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Drošības un higiēnas noteikumi</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Signālvārds: </w:t>
      </w:r>
      <w:r>
        <w:rPr>
          <w:rFonts w:ascii="Arial Narrow" w:hAnsi="Arial Narrow"/>
          <w:b/>
          <w:bCs/>
          <w:color w:val="5E5E5E"/>
          <w:sz w:val="16"/>
          <w:szCs w:val="16"/>
          <w:shd w:fill="auto" w:val="clear"/>
          <w:lang w:val="sk-SK"/>
        </w:rPr>
        <w:t>Bīstami</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Kairina ādu.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Izraisa nopietnus acu bojājumus.</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Var izraisīt elpceļu kairinājumu.</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Ja nepieciešama medicīniska palīdzība, nodrošiniet konteineru vai ražotāja etiķeti.</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Uzglabāt bērniem nepieejamā vietā.</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Izvairīties ieelpot putekļus.</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Lietojiet aizsargcimdus / aizsargapģērbu / aizsargbrilles / sejas aizsargu.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SASKARĒ AR ACĪM: uzmanīgi skalot ar ūdeni vairākas minūtes. Izņemiet kontaktlēcas, ja tās ir nēsātas, un izņemiet tās, ja iespējams. Turpiniet skalošanu.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Nekavējoties sazinieties ar SAINDĒŠANĀS CENTRU vai ārstu.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SASKARĒ AR ĀDU: nomazgāt ar lielu daudzumu ziepju un ūdens. Ādas kairinājuma vai izsitumu gadījumā</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meklēt medicīnisko palīdzību.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IEELPOŠANAS GADĪJUMĀ: izvest personu svaigā gaisā un turēt tādā stāvoklī, kas atvieglo elpošanu.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Ja jūtaties slikti, sazinieties ar SAINDĒŠANĀS CENTRU vai ārstu.</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Likvidēt saturu/iepakojumu savākšanas punktā, kas norādīts saskaņā ar vietējiem noteikumiem.</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Uzglabāšana</w:t>
      </w:r>
    </w:p>
    <w:p>
      <w:pPr>
        <w:pStyle w:val="Telotextu"/>
        <w:spacing w:before="0" w:after="80"/>
        <w:ind w:left="0" w:right="57" w:hanging="0"/>
        <w:jc w:val="both"/>
        <w:rPr>
          <w:lang w:val="sk-SK" w:eastAsia="en-US" w:bidi="ar-SA"/>
        </w:rPr>
      </w:pPr>
      <w:r>
        <w:rPr>
          <w:color w:val="5E5E5E"/>
          <w:spacing w:val="-1"/>
          <w:sz w:val="16"/>
          <w:lang w:val="sk-SK" w:eastAsia="en-US" w:bidi="ar-SA"/>
        </w:rPr>
        <w:t xml:space="preserve">Uzglabājiet produktu sausā vietā oriģinālajā iepakojumā – sargājiet no bojājumiem, ūdens iedarbības un augsta relatīvā mitruma. Ja tiek ievēroti norādītie nosacījumi, derīguma termiņš ir </w:t>
      </w:r>
      <w:r>
        <w:rPr>
          <w:color w:val="5E5E5E"/>
          <w:spacing w:val="-1"/>
          <w:sz w:val="16"/>
          <w:lang w:val="sk-SK" w:eastAsia="en-US" w:bidi="ar-SA"/>
        </w:rPr>
        <w:t>12</w:t>
      </w:r>
      <w:r>
        <w:rPr>
          <w:color w:val="5E5E5E"/>
          <w:spacing w:val="-1"/>
          <w:sz w:val="16"/>
          <w:lang w:val="sk-SK" w:eastAsia="en-US" w:bidi="ar-SA"/>
        </w:rPr>
        <w:t xml:space="preserve"> mēneši no datuma, kas norādīts uz iepakojuma.</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Ekspedīcija</w:t>
      </w:r>
    </w:p>
    <w:p>
      <w:pPr>
        <w:pStyle w:val="Telotextu"/>
        <w:spacing w:before="0" w:after="80"/>
        <w:ind w:left="0" w:right="57" w:hanging="0"/>
        <w:jc w:val="both"/>
        <w:rPr>
          <w:lang w:val="sk-SK" w:eastAsia="en-US" w:bidi="ar-SA"/>
        </w:rPr>
      </w:pPr>
      <w:r>
        <w:rPr>
          <w:color w:val="5E5E5E"/>
          <w:spacing w:val="-1"/>
          <w:sz w:val="16"/>
          <w:lang w:val="sk-SK" w:eastAsia="en-US" w:bidi="ar-SA"/>
        </w:rPr>
        <w:t>Sausais maisījums tiek piegādāts papīra maisiņos uz paletēm, kas pārklātas ar foliju.</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Izgatavots</w:t>
      </w:r>
    </w:p>
    <w:p>
      <w:pPr>
        <w:pStyle w:val="Telotextu"/>
        <w:spacing w:lineRule="exact" w:line="183" w:before="0" w:after="80"/>
        <w:ind w:left="0" w:right="57" w:hanging="0"/>
        <w:jc w:val="both"/>
        <w:rPr>
          <w:lang w:val="sk-SK" w:eastAsia="en-US" w:bidi="ar-SA"/>
        </w:rPr>
      </w:pPr>
      <w:r>
        <w:rPr>
          <w:color w:val="5E5E5E"/>
          <w:spacing w:val="-1"/>
          <w:lang w:val="sk-SK" w:eastAsia="en-US" w:bidi="ar-SA"/>
        </w:rPr>
        <w:t>ES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Derīgums</w:t>
      </w:r>
    </w:p>
    <w:p>
      <w:pPr>
        <w:pStyle w:val="Telotextu"/>
        <w:spacing w:before="0" w:after="80"/>
        <w:ind w:left="0" w:right="57" w:hanging="0"/>
        <w:rPr>
          <w:lang w:val="sk-SK" w:eastAsia="en-US" w:bidi="ar-SA"/>
        </w:rPr>
      </w:pPr>
      <w:r>
        <w:rPr>
          <w:color w:val="5E5E5E"/>
          <w:lang w:val="sk-SK" w:eastAsia="en-US" w:bidi="ar-SA"/>
        </w:rPr>
        <w:t>No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Tā kā preces lietošana un apstrāde nav pakļauta mūsu tiešai ietekmei, mēs neesam atbildīgi par zaudējumiem, kas radušies nepareizas lietošanas dēļ. Mēs paturam tiesības veikt izmaiņas tehnikas attīstības dēļ.</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Stends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Tehniskā lapa:</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lv-LV"/>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lv-LV"/>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lv-LV"/>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1021</Words>
  <Characters>6501</Characters>
  <CharactersWithSpaces>7425</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2025-06-13T11:24:19Z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