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80808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Tulajdonságok és felhasználási mód</w:t>
      </w:r>
    </w:p>
    <w:p>
      <w:pPr>
        <w:pStyle w:val="Telotextu"/>
        <w:spacing w:before="0" w:after="8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minden típusú falazóanyag vakolása, különösen tégla aljzat, pórusbeton és betonszerelvények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felújítás és kiegészítő szigetelés során közvetlenül durva szemcséjű brizolit vakolatokra is felhordható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az objektumból történő hőszivárgás korlátozása a szerkezet hőellenállása miatt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az épületből történő hőszivárgás korlátozása a falakban lévő hőhidak miatt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nem akadályozza meg a nedvesség eltávolítását a falazatból a vízgőz diffúziós ellenállási tényezője miatt</w:t>
      </w:r>
    </w:p>
    <w:p>
      <w:pPr>
        <w:pStyle w:val="Telotextu"/>
        <w:widowControl w:val="false"/>
        <w:spacing w:before="0" w:after="80"/>
        <w:ind w:left="125" w:right="0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mechanikus és kézi vakolás külső és belső környezetben</w:t>
      </w:r>
    </w:p>
    <w:p>
      <w:pPr>
        <w:pStyle w:val="Telotextu"/>
        <w:spacing w:before="0" w:after="80"/>
        <w:ind w:left="125" w:hanging="0"/>
        <w:jc w:val="both"/>
        <w:rPr>
          <w:color w:val="5E5E5E"/>
        </w:rPr>
      </w:pPr>
      <w:r>
        <w:rPr>
          <w:color w:val="5E5E5E"/>
        </w:rPr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Összetétel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pacing w:val="-1"/>
          <w:sz w:val="16"/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Portlandcement, ásványi töltőanyagok, könnyű töltőanyagok, vegyi adalékok.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Műszaki paraméterek</w:t>
      </w:r>
    </w:p>
    <w:tbl>
      <w:tblPr>
        <w:tblW w:w="3148" w:type="dxa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20"/>
        <w:gridCol w:w="651"/>
        <w:gridCol w:w="1104"/>
        <w:gridCol w:w="572"/>
      </w:tblGrid>
      <w:tr>
        <w:trPr/>
        <w:tc>
          <w:tcPr>
            <w:tcW w:w="31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Hőszigetelő vakolat külső vakolathoz (T) az EN 998-1:2003 szerint, CSI, W2, T1 kategória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kézzel alkalmazzák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Nyomószilárdság (CS I kategória)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Megkeményedett habarcs térfogatsúlya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400-410 kg/m </w:t>
            </w:r>
            <w:r>
              <w:rPr>
                <w:rFonts w:cs="Arial"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3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Tapadás – letépési módszer (B)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 0,04 MPa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Hővezetési tényező λ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Vízgőz diffúziós ellenállási tényező μ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8 (EN 1745)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Feldolgozási idő</w:t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perc.</w:t>
            </w:r>
          </w:p>
        </w:tc>
      </w:tr>
      <w:tr>
        <w:trPr/>
        <w:tc>
          <w:tcPr>
            <w:tcW w:w="8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Reakció a tűzre</w:t>
            </w:r>
          </w:p>
        </w:tc>
        <w:tc>
          <w:tcPr>
            <w:tcW w:w="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1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Telotextu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Tájékoztató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/>
                <w:color w:val="1C1C1C"/>
                <w:sz w:val="16"/>
                <w:szCs w:val="16"/>
                <w:lang w:val="sk-SK" w:eastAsia="en-US" w:bidi="ar-SA"/>
              </w:rPr>
              <w:t>kézzel alkalmazzák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szemcsézettség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Keverővíz mennyisége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0,5-0,55 l/kg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Hozam 10 mm-es réteggel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4,0-4,5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Egy réteg javasolt maximális felhordási vastagsága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Maximális vakolatvastagság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Statikai értékelés szerint</w:t>
            </w:r>
          </w:p>
        </w:tc>
      </w:tr>
      <w:tr>
        <w:trPr>
          <w:trHeight w:val="404" w:hRule="atLeast"/>
        </w:trPr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Az alapfelület és a levegő és a vakolat minimális hőmérséklete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800"/>
        <w:gridCol w:w="665"/>
        <w:gridCol w:w="1053"/>
        <w:gridCol w:w="581"/>
      </w:tblGrid>
      <w:tr>
        <w:trPr/>
        <w:tc>
          <w:tcPr>
            <w:tcW w:w="3099" w:type="dxa"/>
            <w:gridSpan w:val="4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Hőszigetelő vakolat külső vakolathoz (T) az EN 998-1:2003 szerint, CSI, W2, T1 kategória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géppel alkalmazzák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Nyomószilárdság (CS I kategória)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Megkeményedett habarcs térfogatsúlya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350 - 400 kg/m3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Tapadás – letépési módszer (B)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&gt;0,04 MPa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Hővezetési tényező λ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 T1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Vízgőz diffúziós ellenállási tényező μ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&lt;8 (EN 174)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Feldolgozási idő</w:t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60 perc.</w:t>
            </w:r>
          </w:p>
        </w:tc>
      </w:tr>
      <w:tr>
        <w:trPr/>
        <w:tc>
          <w:tcPr>
            <w:tcW w:w="800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Reakció a tűzre</w:t>
            </w:r>
          </w:p>
        </w:tc>
        <w:tc>
          <w:tcPr>
            <w:tcW w:w="66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A1</w:t>
            </w:r>
          </w:p>
        </w:tc>
        <w:tc>
          <w:tcPr>
            <w:tcW w:w="105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  <w:tc>
          <w:tcPr>
            <w:tcW w:w="58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color w:val="666666"/>
                <w:sz w:val="16"/>
                <w:szCs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lang w:val="sk-SK" w:eastAsia="en-US" w:bidi="ar-SA"/>
        </w:rPr>
      </w:pPr>
      <w:r>
        <w:rPr>
          <w:color w:val="5E5E5E"/>
          <w:lang w:val="sk-SK" w:eastAsia="en-US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9" w:type="dxa"/>
          <w:bottom w:w="0" w:type="dxa"/>
          <w:right w:w="108" w:type="dxa"/>
        </w:tblCellMar>
        <w:tblLook w:val="04a0"/>
      </w:tblPr>
      <w:tblGrid>
        <w:gridCol w:w="1943"/>
        <w:gridCol w:w="1156"/>
      </w:tblGrid>
      <w:tr>
        <w:trPr/>
        <w:tc>
          <w:tcPr>
            <w:tcW w:w="3099" w:type="dxa"/>
            <w:gridSpan w:val="2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1C1C1C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1C1C1C"/>
                <w:sz w:val="16"/>
                <w:szCs w:val="16"/>
                <w:lang w:val="sk-SK" w:eastAsia="en-US" w:bidi="ar-SA"/>
              </w:rPr>
              <w:t>Tájékoztató</w:t>
            </w:r>
          </w:p>
          <w:p>
            <w:pPr>
              <w:pStyle w:val="Telotextu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/>
                <w:b/>
                <w:color w:val="1C1C1C"/>
                <w:sz w:val="16"/>
                <w:szCs w:val="16"/>
                <w:lang w:val="sk-SK" w:eastAsia="en-US" w:bidi="ar-SA"/>
              </w:rPr>
              <w:t>gép alkalmazva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szemcsézettség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0,125 - 2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Keverővíz mennyisége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A vakológép típusa szerint l / kg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Hozam 10 mm-es réteggel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ascii="Arial Narrow" w:hAnsi="Arial Narrow"/>
                <w:color w:val="666666"/>
                <w:sz w:val="16"/>
                <w:szCs w:val="16"/>
                <w:lang w:val="sk-SK" w:eastAsia="en-US" w:bidi="ar-SA"/>
              </w:rPr>
              <w:t xml:space="preserve">4,2 kg/m </w:t>
            </w:r>
            <w:r>
              <w:rPr>
                <w:rFonts w:ascii="Arial Narrow" w:hAnsi="Arial Narrow"/>
                <w:color w:val="666666"/>
                <w:sz w:val="16"/>
                <w:szCs w:val="16"/>
                <w:vertAlign w:val="superscript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Egy réteg maximális felhordási vastagsága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20 mm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Maximális vakolatvastagság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sk-SK" w:eastAsia="en-US" w:bidi="ar-SA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Statikai értékelés szerint</w:t>
            </w:r>
          </w:p>
        </w:tc>
      </w:tr>
      <w:tr>
        <w:trPr/>
        <w:tc>
          <w:tcPr>
            <w:tcW w:w="194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color w:val="666666"/>
                <w:sz w:val="16"/>
                <w:lang w:val="sk-SK" w:eastAsia="en-US" w:bidi="ar-SA"/>
              </w:rPr>
            </w:pPr>
            <w:r>
              <w:rPr>
                <w:rFonts w:cs="Arial" w:ascii="Arial Narrow" w:hAnsi="Arial Narrow"/>
                <w:bCs/>
                <w:color w:val="666666"/>
                <w:sz w:val="16"/>
                <w:szCs w:val="16"/>
                <w:lang w:val="sk-SK" w:eastAsia="en-US" w:bidi="ar-SA"/>
              </w:rPr>
              <w:t>Az alapfelület és a levegő és a vakolat minimális hőmérséklete</w:t>
            </w:r>
          </w:p>
        </w:tc>
        <w:tc>
          <w:tcPr>
            <w:tcW w:w="115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color w:val="666666"/>
                <w:sz w:val="16"/>
                <w:szCs w:val="16"/>
              </w:rPr>
            </w:pPr>
            <w:r>
              <w:rPr>
                <w:rFonts w:cs="Arial" w:ascii="Arial Narrow" w:hAnsi="Arial Narrow"/>
                <w:color w:val="666666"/>
                <w:sz w:val="16"/>
                <w:szCs w:val="16"/>
                <w:lang w:val="sk-SK" w:eastAsia="en-US" w:bidi="ar-SA"/>
              </w:rPr>
              <w:t>5 °C</w:t>
            </w:r>
          </w:p>
        </w:tc>
      </w:tr>
    </w:tbl>
    <w:p>
      <w:pPr>
        <w:pStyle w:val="Normal"/>
        <w:spacing w:before="0" w:after="80"/>
        <w:ind w:left="0" w:right="57" w:hanging="0"/>
        <w:rPr>
          <w:color w:val="5E5E5E"/>
          <w:sz w:val="16"/>
          <w:szCs w:val="16"/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</w:r>
    </w:p>
    <w:p>
      <w:pPr>
        <w:pStyle w:val="Normal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rFonts w:ascii="Arial Narrow" w:hAnsi="Arial Narrow"/>
          <w:color w:val="5E5E5E"/>
          <w:sz w:val="16"/>
          <w:szCs w:val="16"/>
          <w:lang w:val="sk-SK" w:eastAsia="en-US" w:bidi="ar-SA"/>
        </w:rPr>
        <w:t>MEGJEGYZÉS: A műszaki paraméterek meghatározása normál körülmények között (20 ± 2) °C és (65 ± 5) °C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A háttér elkészítése</w:t>
      </w:r>
    </w:p>
    <w:p>
      <w:pPr>
        <w:pStyle w:val="Telotextu"/>
        <w:spacing w:before="0" w:after="0"/>
        <w:ind w:left="0" w:right="57" w:hanging="0"/>
        <w:jc w:val="both"/>
        <w:rPr>
          <w:lang w:val="sk-SK" w:eastAsia="en-US" w:bidi="ar-SA"/>
        </w:rPr>
      </w:pPr>
      <w:r>
        <w:rPr>
          <w:color w:val="666666"/>
          <w:sz w:val="16"/>
          <w:szCs w:val="16"/>
          <w:lang w:val="sk-SK" w:eastAsia="en-US" w:bidi="ar-SA"/>
        </w:rPr>
        <w:t xml:space="preserve">Az aljzatnak erősnek és teherbírónak, por-, festék-, mész- és zsírmentesnek kell lennie. Nem lehet vízlepergető. Abban az esetben, ha a jelenlegi aljzatot korábban fedőbevonattal látták el, azt mechanikusan el kell távolítani az eredeti vakolatról, vagy akár az alatta lévő falazatról. Az ilyen rétegek eltávolítására alkalmasak a megfelelő felhordó korongokkal ellátott karcológépek. Bonyolult, morzsalékos alaprétegek esetén erősítő mész-cement vagy cement erősítő réteg és áthatoló bevonat felhordása szükséges. A falazatnak kellően érettnek kell lennie, térfogatváltozás nélkül. </w:t>
      </w:r>
      <w:r>
        <w:rPr>
          <w:b/>
          <w:color w:val="666666"/>
          <w:sz w:val="16"/>
          <w:szCs w:val="16"/>
          <w:lang w:val="sk-SK" w:eastAsia="en-US" w:bidi="ar-SA"/>
        </w:rPr>
        <w:t xml:space="preserve">A nedvszívó aljzatokat felhordás előtt alapozni kell - FixPlus / StuccoPrimer. </w:t>
      </w:r>
      <w:r>
        <w:rPr>
          <w:color w:val="666666"/>
          <w:sz w:val="16"/>
          <w:szCs w:val="16"/>
          <w:lang w:val="sk-SK" w:eastAsia="en-US" w:bidi="ar-SA"/>
        </w:rPr>
        <w:t>A homlokzat síkságának megőrzése érdekében javasoljuk, hogy a vakolatot mindig vakolatcsíkok között hordják fel.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Feldolgozás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szCs w:val="16"/>
          <w:lang w:val="sk-SK" w:eastAsia="en-US" w:bidi="ar-SA"/>
        </w:rPr>
        <w:t xml:space="preserve">a) Kézi felhordás </w:t>
      </w:r>
      <w:r>
        <w:rPr>
          <w:color w:val="5E5E5E"/>
          <w:sz w:val="16"/>
          <w:szCs w:val="16"/>
          <w:lang w:val="sk-SK" w:eastAsia="en-US" w:bidi="ar-SA"/>
        </w:rPr>
        <w:t>- A vakolatot az előírt mennyiségű keverővízben kézi mixerrel legalább 4 percig keverjük homogén állagúra, csomómentesen. Hagyja állni a habarcskeveréket 5 percig, majd keverje újra alaposan. Cseppkeverőben ne keverjük!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FONTOS! </w:t>
      </w:r>
      <w:r>
        <w:rPr>
          <w:color w:val="5E5E5E"/>
          <w:sz w:val="16"/>
          <w:lang w:val="sk-SK" w:eastAsia="en-US" w:bidi="ar-SA"/>
        </w:rPr>
        <w:t>A felhordás során a habarcs homogén állagának biztosítása érdekében a tasak teljes tartalmát fel kell használni. Javasoljuk, hogy nagyobb felületű vakolat felhordásakor egy megfelelő edényben mindig legalább 3 zacskó vakolatot keverjünk össze, amit a falra kezdünk. Abban a pillanatban, amikor körülbelül a habarcs utolsó harmada a tartályban marad, keverjen bele további két zsák vakolatot, és keverje újra a keveréket vízzel homogén állagúra. A tasak tartalmának részleges felhasználása nem megengedett. A megfelelően elkészített habarcs mutatója az egyenletes, csomómentes sűrűsége és az a képessége, hogy meg tudja tartani a fordított fém simítót vagy kanalat.</w:t>
      </w:r>
      <w:r>
        <w:rPr>
          <w:color w:val="5E5E5E"/>
          <w:lang w:val="sk-SK" w:eastAsia="en-US" w:bidi="ar-SA"/>
        </w:rPr>
        <w:t>  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A felhordás során műanyag simítóval igazítjuk a vakolatot. Az IsoTex R70 vakolat 2 mm-es szemcsevastagságig "bárány" hatású. 48 óra elteltével ajánlatos a FixPlus bevonat alá felvinni a behatolást, majd felvinni a ThermoShield® bevonatot.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b/>
          <w:color w:val="5E5E5E"/>
          <w:sz w:val="16"/>
          <w:lang w:val="sk-SK" w:eastAsia="en-US" w:bidi="ar-SA"/>
        </w:rPr>
        <w:t xml:space="preserve">b) Gépi felhordás </w:t>
      </w:r>
      <w:r>
        <w:rPr>
          <w:color w:val="5E5E5E"/>
          <w:sz w:val="16"/>
          <w:lang w:val="sk-SK" w:eastAsia="en-US" w:bidi="ar-SA"/>
        </w:rPr>
        <w:t>- Hőszigetelő vakolatok felhordására integrált keverőzónával rendelkező vakológépek használatakor a következő beállítások érvényesek:</w:t>
      </w:r>
      <w:r>
        <w:rPr>
          <w:color w:val="5E5E5E"/>
          <w:lang w:val="sk-SK" w:eastAsia="en-US" w:bidi="ar-SA"/>
        </w:rPr>
        <w:t>  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szCs w:val="16"/>
          <w:lang w:val="sk-SK" w:eastAsia="en-US" w:bidi="ar-SA"/>
        </w:rPr>
        <w:t xml:space="preserve">• </w:t>
      </w:r>
      <w:r>
        <w:rPr>
          <w:color w:val="5E5E5E"/>
          <w:sz w:val="16"/>
          <w:szCs w:val="16"/>
          <w:lang w:val="sk-SK" w:eastAsia="en-US" w:bidi="ar-SA"/>
        </w:rPr>
        <w:t>Fúvóka: nincs. 16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A vízoszlop magassága: 400-500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color w:val="C9211E"/>
        </w:rPr>
      </w:pPr>
      <w:r>
        <w:rPr>
          <w:b/>
          <w:bCs/>
          <w:color w:val="C9211E"/>
          <w:sz w:val="16"/>
          <w:lang w:val="sk-SK" w:eastAsia="en-US" w:bidi="ar-SA"/>
        </w:rPr>
        <w:t xml:space="preserve">FIGYELMEZTETÉS </w:t>
      </w:r>
      <w:r>
        <w:rPr>
          <w:color w:val="C9211E"/>
          <w:sz w:val="16"/>
          <w:lang w:val="sk-SK" w:eastAsia="en-US" w:bidi="ar-SA"/>
        </w:rPr>
        <w:t>: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Az EN 13914-1 a külső vakolás tervezésére, előkészítésére és kivitelezésére vonatkozik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Kötőanyagok, töltőanyagok és egyéb összetevők további hozzáadása, illetve a keveréken való átszitálás nem megengedett.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lang w:val="sk-SK" w:eastAsia="en-US" w:bidi="ar-SA"/>
        </w:rPr>
        <w:t xml:space="preserve">A keverék csak +8°C és 25 </w:t>
      </w:r>
      <w:r>
        <w:rPr>
          <w:rFonts w:eastAsia="Arial Narrow" w:cs=""/>
          <w:b/>
          <w:bCs/>
          <w:color w:val="C9211E"/>
          <w:kern w:val="0"/>
          <w:sz w:val="16"/>
          <w:szCs w:val="16"/>
          <w:lang w:val="sk-SK" w:eastAsia="en-US" w:bidi="ar-SA"/>
        </w:rPr>
        <w:t xml:space="preserve">°C </w:t>
      </w:r>
      <w:r>
        <w:rPr>
          <w:b/>
          <w:bCs/>
          <w:color w:val="C9211E"/>
          <w:sz w:val="16"/>
          <w:lang w:val="sk-SK" w:eastAsia="en-US" w:bidi="ar-SA"/>
        </w:rPr>
        <w:t xml:space="preserve">közötti levegő- és aljzathőmérsékleten </w:t>
      </w:r>
      <w:r>
        <w:rPr>
          <w:color w:val="5E5E5E"/>
          <w:sz w:val="16"/>
          <w:lang w:val="sk-SK" w:eastAsia="en-US" w:bidi="ar-SA"/>
        </w:rPr>
        <w:t xml:space="preserve">dolgozható fel </w:t>
      </w:r>
      <w:r>
        <w:rPr>
          <w:b/>
          <w:bCs/>
          <w:color w:val="C9211E"/>
          <w:sz w:val="16"/>
          <w:lang w:val="sk-SK" w:eastAsia="en-US" w:bidi="ar-SA"/>
        </w:rPr>
        <w:t xml:space="preserve">!!! </w:t>
      </w:r>
      <w:r>
        <w:rPr>
          <w:color w:val="5E5E5E"/>
          <w:sz w:val="16"/>
          <w:lang w:val="sk-SK" w:eastAsia="en-US" w:bidi="ar-SA"/>
        </w:rPr>
        <w:t>Ne használja, ha fagy várható!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A keverék keveréséhez ivóvizet vagy EN1008-nak megfelelő vizet kell használni.</w:t>
      </w:r>
      <w:r>
        <w:rPr>
          <w:color w:val="5E5E5E"/>
          <w:lang w:val="sk-SK" w:eastAsia="en-US" w:bidi="ar-SA"/>
        </w:rPr>
        <w:t> </w:t>
      </w:r>
    </w:p>
    <w:p>
      <w:pPr>
        <w:pStyle w:val="Telotextu"/>
        <w:widowControl w:val="false"/>
        <w:suppressAutoHyphens w:val="false"/>
        <w:spacing w:lineRule="auto" w:line="240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 xml:space="preserve">• </w:t>
      </w:r>
      <w:r>
        <w:rPr>
          <w:color w:val="5E5E5E"/>
          <w:sz w:val="16"/>
          <w:lang w:val="sk-SK" w:eastAsia="en-US" w:bidi="ar-SA"/>
        </w:rPr>
        <w:t>A termék ártalmatlanítása: Helyezze a használt csomagolást egy engedélyezett hulladéklerakóba. Hagyja megkeményedni a fel nem használt anyagot, és helyezze egy kommunális hulladéklerakóba. Saját készítmény - hulladékkód 101311 Egyéb, 101309 és 101310 szám alatt nem szereplő vegyes anyagokból származó hulladék. Edzett anyag - hulladékkód 170904 Vegyes építési és bontási hulladék, amely nem szerepel a 170901, 170902 és 170903 szám alatt.</w:t>
      </w:r>
      <w:r>
        <w:rPr>
          <w:color w:val="5E5E5E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Elsősegély</w:t>
      </w: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Egészségügyi probléma vagy kétség esetén értesítse orvosát.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Belélegzés esetén az érintettet friss levegőre kell vinni, légzési nehézségek esetén orvosi segítséget kell kérni.</w:t>
      </w:r>
    </w:p>
    <w:p>
      <w:pPr>
        <w:pStyle w:val="Telotextu"/>
        <w:spacing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Bőrrel való érintkezés esetén mossa le a bőrt tiszta vízzel és szappannal. Az irritált területeket javító krémmel kezelje.</w:t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Telotextu"/>
        <w:spacing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Szemmel való érintkezés esetén azonnal mossa ki a szemhéjakat tiszta vízzel 15 percig. majd forduljon orvoshoz.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Lenyelés esetén öblítse ki a száját vízzel, igyon 0,5 liter vizet és kérjen orvosi segítséget. Ne hánytasson.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A gyógyszer bőrrel érintkezve allergiás reakciót válthat ki. Ha a termékkel való érintkezésből eredő ütés (irritáció) tünetei az elsősegélynyújtás után sem szűnnek meg, forduljon orvoshoz.</w:t>
      </w:r>
    </w:p>
    <w:p>
      <w:pPr>
        <w:pStyle w:val="Telotextu"/>
        <w:widowControl w:val="false"/>
        <w:suppressAutoHyphens w:val="false"/>
        <w:spacing w:lineRule="auto" w:line="240" w:before="0" w:after="192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Gyermekek elől elzárva tárolandó!</w:t>
      </w:r>
    </w:p>
    <w:p>
      <w:pPr>
        <w:pStyle w:val="Normal"/>
        <w:shd w:val="clear" w:color="auto" w:fill="808080" w:themeFill="background1" w:themeFillShade="80"/>
        <w:spacing w:before="160" w:after="160"/>
        <w:rPr>
          <w:rFonts w:ascii="Arial Narrow" w:hAnsi="Arial Narrow"/>
          <w:b/>
          <w:b/>
          <w:color w:val="FFFFFF"/>
          <w:sz w:val="18"/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Biztonsági és higiéniai előírások</w:t>
      </w:r>
    </w:p>
    <w:p>
      <w:pPr>
        <w:pStyle w:val="Telotextu"/>
        <w:spacing w:before="0" w:after="80"/>
        <w:ind w:left="6" w:right="57" w:hanging="6"/>
        <w:jc w:val="both"/>
        <w:rPr>
          <w:rFonts w:ascii="Arial Narrow" w:hAnsi="Arial Narrow"/>
          <w:color w:val="5E5E5E"/>
          <w:spacing w:val="-3"/>
          <w:sz w:val="16"/>
          <w:lang w:val="sk-SK" w:eastAsia="en-US" w:bidi="ar-SA"/>
        </w:rPr>
      </w:pPr>
      <w:r>
        <w:rPr/>
        <w:drawing>
          <wp:inline distT="0" distB="0" distL="0" distR="0">
            <wp:extent cx="622935" cy="622935"/>
            <wp:effectExtent l="0" t="0" r="0" b="0"/>
            <wp:docPr id="2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624205" cy="62420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Jelzőszó: </w:t>
      </w:r>
      <w:r>
        <w:rPr>
          <w:rFonts w:ascii="Arial Narrow" w:hAnsi="Arial Narrow"/>
          <w:b/>
          <w:bCs/>
          <w:color w:val="5E5E5E"/>
          <w:sz w:val="16"/>
          <w:szCs w:val="16"/>
          <w:shd w:fill="auto" w:val="clear"/>
          <w:lang w:val="sk-SK"/>
        </w:rPr>
        <w:t>Veszély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H315 </w:t>
        <w:tab/>
        <w:t>Bőrizgató hatású.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H318 </w:t>
        <w:tab/>
        <w:t>Súlyos szemkárosodást okoz.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H335 </w:t>
        <w:tab/>
        <w:t>Légúti irritációt okozhat.</w:t>
      </w:r>
    </w:p>
    <w:p>
      <w:pPr>
        <w:pStyle w:val="Telotextu"/>
        <w:spacing w:before="0" w:after="80"/>
        <w:ind w:left="6" w:right="57" w:hanging="6"/>
        <w:jc w:val="both"/>
        <w:rPr>
          <w:color w:val="5E5E5E"/>
          <w:spacing w:val="-3"/>
          <w:sz w:val="12"/>
          <w:szCs w:val="12"/>
          <w:highlight w:val="none"/>
          <w:shd w:fill="auto" w:val="clear"/>
          <w:lang w:val="sk-SK"/>
        </w:rPr>
      </w:pPr>
      <w:r>
        <w:rPr>
          <w:color w:val="5E5E5E"/>
          <w:spacing w:val="-3"/>
          <w:sz w:val="12"/>
          <w:szCs w:val="12"/>
          <w:shd w:fill="auto" w:val="clear"/>
          <w:lang w:val="sk-SK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P101 </w:t>
        <w:tab/>
        <w:t>Ha orvosi ellátásra van szükség, a tartályt vagy a gyártó címkéjét kell rendelkezésre bocsátani.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P102 </w:t>
        <w:tab/>
        <w:t>Gyermekek elől elzárva tartandó.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P261 </w:t>
        <w:tab/>
        <w:t>Kerülje a por belélegzését.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 xml:space="preserve">P280 </w:t>
        <w:tab/>
        <w:t>Használjon védőkesztyűt / védőruházatot / védőszemüveget / arcvédőt.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P305+P351+P338: SZEMBE KERÜLÉS ESETÉN: Több percig tartó óvatos öblítés. Távolítsa el a kontaktlencséket, ha viseli, és távolítsa el, ha lehetséges. Folytassa az öblítést.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P310: Azonnal forduljon TOXIKOLÓGIAI KÖZPONTHOZ vagy orvoshoz.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P302+P352: HA BŐRRE KERÜL: Mossa le bő szappannal és vízzel. Bőrirritáció vagy kiütés esetén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P333+P313: Forduljon orvoshoz.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P304+P340: BELÉLEGZÉS ESETÉN: Az érintett személyt friss levegőre kell vinni, és olyan testhelyzetbe kell helyezni, hogy megkönnyítse a légzést.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z w:val="16"/>
          <w:szCs w:val="16"/>
          <w:shd w:fill="auto" w:val="clear"/>
          <w:lang w:val="sk-SK"/>
        </w:rPr>
        <w:t>P312 Rosszullét esetén forduljon TOXIKOLÓGIAI KÖZPONTHOZ vagy orvoshoz.</w:t>
      </w:r>
    </w:p>
    <w:p>
      <w:pPr>
        <w:pStyle w:val="Normal"/>
        <w:spacing w:lineRule="auto" w:line="240" w:before="0" w:after="0"/>
        <w:ind w:left="6" w:right="57" w:hanging="6"/>
        <w:jc w:val="both"/>
        <w:rPr>
          <w:highlight w:val="none"/>
          <w:shd w:fill="auto" w:val="clear"/>
        </w:rPr>
      </w:pPr>
      <w:r>
        <w:rPr>
          <w:rFonts w:ascii="Arial Narrow" w:hAnsi="Arial Narrow"/>
          <w:color w:val="5E5E5E"/>
          <w:spacing w:val="-3"/>
          <w:sz w:val="16"/>
          <w:szCs w:val="16"/>
          <w:shd w:fill="auto" w:val="clear"/>
          <w:lang w:val="sk-SK" w:eastAsia="en-US" w:bidi="ar-SA"/>
        </w:rPr>
        <w:t>P501 A tartalmat/csomagolást a helyi előírásoknak megfelelően kijelölt gyűjtőhelyen kell leadni.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Tárolás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 xml:space="preserve">A terméket száraz helyen, az eredeti csomagolásban tárolja – védje a sérülésektől, a víz hatásától és a magas relatív páratartalomtól. A feltüntetett feltételek betartása esetén a szavatossági idő a csomagoláson feltüntetett dátumtól számított </w:t>
      </w:r>
      <w:r>
        <w:rPr>
          <w:color w:val="5E5E5E"/>
          <w:spacing w:val="-1"/>
          <w:sz w:val="16"/>
          <w:lang w:val="sk-SK" w:eastAsia="en-US" w:bidi="ar-SA"/>
        </w:rPr>
        <w:t>12</w:t>
      </w:r>
      <w:r>
        <w:rPr>
          <w:color w:val="5E5E5E"/>
          <w:spacing w:val="-1"/>
          <w:sz w:val="16"/>
          <w:lang w:val="sk-SK" w:eastAsia="en-US" w:bidi="ar-SA"/>
        </w:rPr>
        <w:t xml:space="preserve"> hónap.</w:t>
      </w:r>
      <w:r>
        <w:rPr>
          <w:color w:val="5E5E5E"/>
          <w:spacing w:val="-1"/>
          <w:lang w:val="sk-SK" w:eastAsia="en-US" w:bidi="ar-SA"/>
        </w:rPr>
        <w:t> 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Expedíció</w:t>
      </w:r>
    </w:p>
    <w:p>
      <w:pPr>
        <w:pStyle w:val="Telotextu"/>
        <w:spacing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sz w:val="16"/>
          <w:lang w:val="sk-SK" w:eastAsia="en-US" w:bidi="ar-SA"/>
        </w:rPr>
        <w:t>A száraz keveréket papírzacskóban, fóliával letakart raklapokon szállítjuk.</w:t>
      </w:r>
      <w:r>
        <w:rPr>
          <w:color w:val="5E5E5E"/>
          <w:spacing w:val="-1"/>
          <w:lang w:val="sk-SK" w:eastAsia="en-US" w:bidi="ar-SA"/>
        </w:rPr>
        <w:t> </w:t>
      </w:r>
    </w:p>
    <w:p>
      <w:pPr>
        <w:pStyle w:val="Normal"/>
        <w:shd w:val="clear" w:color="auto" w:fill="808080" w:themeFill="background1" w:themeFillShade="80"/>
        <w:spacing w:before="160" w:after="160"/>
        <w:rPr>
          <w:lang w:val="sk-SK" w:eastAsia="en-US" w:bidi="ar-SA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Készült</w:t>
      </w:r>
    </w:p>
    <w:p>
      <w:pPr>
        <w:pStyle w:val="Telotextu"/>
        <w:spacing w:lineRule="exact" w:line="183" w:before="0" w:after="80"/>
        <w:ind w:left="0" w:right="57" w:hanging="0"/>
        <w:jc w:val="both"/>
        <w:rPr>
          <w:lang w:val="sk-SK" w:eastAsia="en-US" w:bidi="ar-SA"/>
        </w:rPr>
      </w:pPr>
      <w:r>
        <w:rPr>
          <w:color w:val="5E5E5E"/>
          <w:spacing w:val="-1"/>
          <w:lang w:val="sk-SK" w:eastAsia="en-US" w:bidi="ar-SA"/>
        </w:rPr>
        <w:t>az EU-ban a SICC Coatings GmbH számára</w:t>
      </w:r>
    </w:p>
    <w:p>
      <w:pPr>
        <w:pStyle w:val="Normal"/>
        <w:shd w:val="clear" w:color="auto" w:fill="808080" w:themeFill="background1" w:themeFillShade="80"/>
        <w:spacing w:before="160" w:after="160"/>
        <w:rPr>
          <w:color w:themeColor="background1"/>
        </w:rPr>
      </w:pPr>
      <w:r>
        <w:rPr>
          <w:rFonts w:ascii="Arial Narrow" w:hAnsi="Arial Narrow"/>
          <w:b/>
          <w:color w:val="FFFFFF" w:themeColor="background1"/>
          <w:sz w:val="18"/>
          <w:szCs w:val="18"/>
          <w:lang w:val="sk-SK" w:eastAsia="en-US" w:bidi="ar-SA"/>
        </w:rPr>
        <w:t>Érvényesség</w:t>
      </w:r>
    </w:p>
    <w:p>
      <w:pPr>
        <w:pStyle w:val="Telotextu"/>
        <w:spacing w:before="0" w:after="80"/>
        <w:ind w:left="0" w:right="57" w:hanging="0"/>
        <w:rPr>
          <w:lang w:val="sk-SK" w:eastAsia="en-US" w:bidi="ar-SA"/>
        </w:rPr>
      </w:pPr>
      <w:r>
        <w:rPr>
          <w:color w:val="5E5E5E"/>
          <w:lang w:val="sk-SK" w:eastAsia="en-US" w:bidi="ar-SA"/>
        </w:rPr>
        <w:t>2020.6.1-től</w:t>
      </w:r>
    </w:p>
    <w:p>
      <w:pPr>
        <w:pStyle w:val="Telotextu"/>
        <w:spacing w:before="0" w:after="80"/>
        <w:ind w:left="0" w:right="57" w:hanging="0"/>
        <w:rPr>
          <w:rFonts w:ascii="Arial Narrow" w:hAnsi="Arial Narrow"/>
          <w:color w:val="5E5E5E"/>
          <w:sz w:val="16"/>
          <w:lang w:val="sk-SK" w:eastAsia="en-US" w:bidi="ar-SA"/>
        </w:rPr>
      </w:pPr>
      <w:r>
        <w:rPr>
          <w:color w:val="5E5E5E"/>
          <w:sz w:val="16"/>
          <w:lang w:val="sk-SK" w:eastAsia="en-US" w:bidi="ar-SA"/>
        </w:rPr>
        <w:t>Mivel a termék használata és feldolgozása nincs közvetlen befolyásunknak kitéve, nem vállalunk felelősséget a helytelen használatból eredő károkért. Fenntartjuk a jogot a változtatásokra a műszaki fejlődés következtében.</w:t>
      </w:r>
    </w:p>
    <w:p>
      <w:pPr>
        <w:pStyle w:val="Telotextu"/>
        <w:spacing w:before="0" w:after="80"/>
        <w:ind w:left="0" w:right="57" w:hanging="0"/>
        <w:rPr>
          <w:color w:val="5E5E5E"/>
        </w:rPr>
      </w:pPr>
      <w:r>
        <w:rPr>
          <w:color w:val="5E5E5E"/>
        </w:rPr>
      </w:r>
    </w:p>
    <w:p>
      <w:pPr>
        <w:sectPr>
          <w:type w:val="continuous"/>
          <w:pgSz w:w="11906" w:h="16838"/>
          <w:pgMar w:left="1021" w:right="1021" w:gutter="0" w:header="709" w:top="1418" w:footer="709" w:bottom="851"/>
          <w:cols w:num="3" w:space="282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continuous"/>
      <w:pgSz w:w="11906" w:h="16838"/>
      <w:pgMar w:left="1021" w:right="1021" w:gutter="0" w:header="709" w:top="1418" w:footer="709" w:bottom="851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right"/>
      <w:rPr>
        <w:rFonts w:ascii="Arial Narrow" w:hAnsi="Arial Narrow" w:cs="Arial"/>
        <w:color w:val="F2F2F2" w:themeColor="background1" w:themeShade="f2"/>
        <w:sz w:val="20"/>
        <w:szCs w:val="20"/>
      </w:rPr>
    </w:pPr>
    <w:r>
      <w:rPr>
        <w:rFonts w:cs="Arial" w:ascii="Arial Narrow" w:hAnsi="Arial Narrow"/>
        <w:color w:val="F2F2F2" w:themeColor="background1" w:themeShade="f2"/>
        <w:sz w:val="20"/>
        <w:szCs w:val="20"/>
      </w:rPr>
    </w:r>
  </w:p>
  <w:p>
    <w:pPr>
      <w:pStyle w:val="Pta"/>
      <w:shd w:val="clear" w:color="auto" w:fill="3B3838" w:themeFill="background2" w:themeFillShade="40"/>
      <w:jc w:val="right"/>
      <w:rPr/>
    </w:pPr>
    <w:r>
      <w:rPr>
        <w:rFonts w:cs="Arial" w:ascii="Arial Narrow" w:hAnsi="Arial Narrow"/>
        <w:color w:val="F2F2F2" w:themeColor="background1" w:themeShade="f2"/>
        <w:sz w:val="20"/>
        <w:szCs w:val="20"/>
      </w:rPr>
      <w:t>TM IsoTex | Stand 2020.03.26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rPr>
        <w:rFonts w:ascii="Arial Narrow" w:hAnsi="Arial Narrow" w:cs="Arial"/>
        <w:b/>
        <w:b/>
        <w:sz w:val="24"/>
        <w:szCs w:val="24"/>
      </w:rPr>
    </w:pPr>
    <w:r>
      <w:rPr/>
      <w:drawing>
        <wp:inline distT="0" distB="0" distL="0" distR="0">
          <wp:extent cx="6263640" cy="1043940"/>
          <wp:effectExtent l="0" t="0" r="0" b="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ie"/>
      <w:rPr>
        <w:rFonts w:ascii="Arial Narrow" w:hAnsi="Arial Narrow" w:cs="Arial"/>
        <w:b/>
        <w:b/>
        <w:color w:val="262626" w:themeColor="text1" w:themeTint="d9"/>
        <w:sz w:val="36"/>
        <w:szCs w:val="36"/>
      </w:rPr>
    </w:pPr>
    <w:r>
      <w:rPr>
        <w:rFonts w:cs="Arial" w:ascii="Arial Narrow" w:hAnsi="Arial Narrow"/>
        <w:b/>
        <w:color w:val="262626" w:themeColor="text1" w:themeTint="d9"/>
        <w:sz w:val="36"/>
        <w:szCs w:val="36"/>
      </w:rPr>
    </w:r>
  </w:p>
  <w:p>
    <w:pPr>
      <w:pStyle w:val="Zhlavie"/>
      <w:rPr/>
    </w:pPr>
    <w:r>
      <w:rPr>
        <w:rFonts w:cs="Arial" w:ascii="Arial Narrow" w:hAnsi="Arial Narrow"/>
        <w:b/>
        <w:color w:val="262626" w:themeColor="text1" w:themeTint="d9"/>
        <w:sz w:val="24"/>
        <w:szCs w:val="24"/>
      </w:rPr>
      <w:t>Műszaki adatlap:</w:t>
    </w:r>
    <w:r>
      <w:rPr>
        <w:rFonts w:cs="Arial" w:ascii="Arial Narrow" w:hAnsi="Arial Narrow"/>
        <w:b/>
        <w:color w:val="262626" w:themeColor="text1" w:themeTint="d9"/>
        <w:sz w:val="36"/>
        <w:szCs w:val="36"/>
      </w:rPr>
      <w:t xml:space="preserve"> </w:t>
    </w:r>
    <w:r>
      <w:rPr>
        <w:rFonts w:cs="Arial" w:ascii="Arial Narrow" w:hAnsi="Arial Narrow"/>
        <w:b/>
        <w:color w:val="D42726"/>
        <w:sz w:val="36"/>
        <w:szCs w:val="36"/>
      </w:rPr>
      <w:t>IsoTex R70</w:t>
    </w:r>
  </w:p>
  <w:p>
    <w:pPr>
      <w:pStyle w:val="Zhlavie"/>
      <w:rPr>
        <w:rFonts w:ascii="Arial Narrow" w:hAnsi="Arial Narrow" w:cs="Arial"/>
        <w:b/>
        <w:b/>
        <w:color w:val="FF0000"/>
        <w:sz w:val="36"/>
        <w:szCs w:val="36"/>
      </w:rPr>
    </w:pPr>
    <w:r>
      <w:rPr>
        <w:rFonts w:cs="Arial" w:ascii="Arial Narrow" w:hAnsi="Arial Narrow"/>
        <w:b/>
        <w:color w:val="FF0000"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236d9d"/>
    <w:rPr/>
  </w:style>
  <w:style w:type="character" w:styleId="FuzeileZchn" w:customStyle="1">
    <w:name w:val="Fußzeile Zchn"/>
    <w:basedOn w:val="DefaultParagraphFont"/>
    <w:uiPriority w:val="99"/>
    <w:qFormat/>
    <w:rsid w:val="00236d9d"/>
    <w:rPr/>
  </w:style>
  <w:style w:type="character" w:styleId="TextkrperZchn" w:customStyle="1">
    <w:name w:val="Textkörper Zchn"/>
    <w:basedOn w:val="DefaultParagraphFont"/>
    <w:uiPriority w:val="1"/>
    <w:qFormat/>
    <w:rsid w:val="00236d9d"/>
    <w:rPr>
      <w:rFonts w:ascii="Arial Narrow" w:hAnsi="Arial Narrow" w:eastAsia="Arial Narrow"/>
      <w:sz w:val="16"/>
      <w:szCs w:val="16"/>
      <w:lang w:val="hu-HU"/>
    </w:rPr>
  </w:style>
  <w:style w:type="character" w:styleId="Internetovodkaz">
    <w:name w:val="Internetový odkaz"/>
    <w:basedOn w:val="DefaultParagraphFont"/>
    <w:uiPriority w:val="99"/>
    <w:unhideWhenUsed/>
    <w:rsid w:val="005e1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1672"/>
    <w:rPr>
      <w:color w:val="808080"/>
      <w:shd w:fill="E6E6E6" w:val="clear"/>
    </w:rPr>
  </w:style>
  <w:style w:type="character" w:styleId="SprechblasentextZchn" w:customStyle="1">
    <w:name w:val="Sprechblasentext Zchn"/>
    <w:basedOn w:val="DefaultParagraphFont"/>
    <w:uiPriority w:val="99"/>
    <w:semiHidden/>
    <w:qFormat/>
    <w:rsid w:val="00c913e4"/>
    <w:rPr>
      <w:rFonts w:ascii="Segoe UI" w:hAnsi="Segoe UI" w:cs="Segoe UI"/>
      <w:sz w:val="18"/>
      <w:szCs w:val="18"/>
    </w:rPr>
  </w:style>
  <w:style w:type="character" w:styleId="Tlidtranslation" w:customStyle="1">
    <w:name w:val="tlid-translation"/>
    <w:basedOn w:val="DefaultParagraphFont"/>
    <w:qFormat/>
    <w:rsid w:val="00492e90"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link w:val="TextkrperZchn"/>
    <w:uiPriority w:val="1"/>
    <w:qFormat/>
    <w:rsid w:val="00236d9d"/>
    <w:pPr>
      <w:widowControl w:val="false"/>
      <w:spacing w:lineRule="auto" w:line="240" w:before="0" w:after="0"/>
      <w:ind w:left="125" w:hanging="0"/>
    </w:pPr>
    <w:rPr>
      <w:rFonts w:ascii="Arial Narrow" w:hAnsi="Arial Narrow" w:eastAsia="Arial Narrow"/>
      <w:sz w:val="16"/>
      <w:szCs w:val="16"/>
      <w:lang w:val="hu-HU"/>
    </w:rPr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Kopf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FuzeileZchn"/>
    <w:uiPriority w:val="99"/>
    <w:unhideWhenUsed/>
    <w:rsid w:val="00236d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913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200"/>
      <w:ind w:left="720" w:hanging="0"/>
      <w:contextualSpacing/>
    </w:pPr>
    <w:rPr>
      <w:rFonts w:ascii="Calibri" w:hAnsi="Calibri" w:eastAsia="Calibri" w:cs="Times New Roman"/>
      <w:lang w:val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4032-4C04-4C26-8497-EC73BA53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LibreOffice/7.3.7.2$Linux_X86_64 LibreOffice_project/30$Build-2</Application>
  <AppVersion>15.0000</AppVersion>
  <Pages>2</Pages>
  <Words>1039</Words>
  <Characters>6631</Characters>
  <CharactersWithSpaces>7572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2020-03-26T13:05:00Z</dcterms:created>
  <dc:creator>Sprenger</dc:creator>
  <dc:description/>
  <dc:language>sk-SK</dc:language>
  <cp:lastModifiedBy/>
  <cp:lastPrinted>2019-10-31T10:14:00Z</cp:lastPrinted>
  <dcterms:modified xsi:type="dcterms:W3CDTF">2025-06-13T11:23:58Z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