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Svojstva i način upotrebe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žbukanje svih vrsta zidanih materijala, posebno podloga od opeke, porobetona i betonske armature</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prilikom sanacije i dodatne izolacije može se nanositi direktno na krupnozrnate brizolit žbuke</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ograničenje odlaska topline iz objekta zbog toplinskog otpora konstrukcije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ograničenje curenja topline iz zgrade zbog toplinskih mostova u zidovima</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ne sprječava uklanjanje vlage iz ziđa zbog faktora otpora difuziji vodene pare</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strojno i ručno žbukanje u vanjskim i unutarnjim prostorima</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Sastav</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 cement, mineralna punila, lagana punila, kemijski dodaci.</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Tehnički parametri</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Toplinsko izolacijska žbuka za vanjsku žbuku (T) prema EN 998-1: 2003, kategorija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nanosi se ručno</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Čvrstoća na pritisak (kategorija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Volumetrijska težina očvrslog morta</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Prianjanje - metoda otkidanja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Koeficijent toplinske vodljivosti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otpora difuziji vodene pare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Vrijeme obrade</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Reakcija na požar</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Informativan</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nanosi se ručno</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Zrnatost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Količina vode za miješanje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Prinos sa slojem od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Preporučena maksimalna debljina nanošenja jednog sloja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Maksimalna debljina žbuke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Prema statičkoj procjeni</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Minimalna temperatura podloge i zraka i žbuke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Toplinsko izolacijska žbuka za vanjsku žbuku (T) prema EN 998-1: 2003, kategorija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nanosi se strojno</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Čvrstoća na pritisak (kategorija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Volumetrijska težina očvrslog morta</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Prianjanje - metoda otkidanja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Koeficijent toplinske vodljivosti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otpora difuziji vodene pare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Vrijeme obrade</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Reakcija na požar</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Informativan</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strojno primijenjen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Zrnatost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Količina vode za miješanje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Prema vrsti stroja za žbukanje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Prinos sa slojem od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Maksimalna debljina nanošenja jednog sloja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Maksimalna debljina žbuke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Prema statičkoj procjeni</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Minimalna temperatura podloge i zraka i žbuke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NAPOMENA: Tehnički parametri su određeni u normalnim uvjetima (20 ± 2) °C i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Priprema pozadine</w:t>
      </w:r>
    </w:p>
    <w:p>
      <w:pPr>
        <w:pStyle w:val="Telotextu"/>
        <w:spacing w:before="0" w:after="0"/>
        <w:ind w:left="0" w:right="57" w:hanging="0"/>
        <w:jc w:val="both"/>
        <w:rPr>
          <w:lang w:val="sk-SK" w:eastAsia="en-US" w:bidi="ar-SA"/>
        </w:rPr>
      </w:pPr>
      <w:r>
        <w:rPr>
          <w:color w:val="666666"/>
          <w:sz w:val="16"/>
          <w:szCs w:val="16"/>
          <w:lang w:val="sk-SK" w:eastAsia="en-US" w:bidi="ar-SA"/>
        </w:rPr>
        <w:t xml:space="preserve">Podloga mora biti čvrsta i nosiva, bez prašine, ostataka boje, kamenca i masnoća. Ne smije biti vodoodbojan. U slučaju da je postojeća podloga prije bila pokrivena pokrovnim premazom, mora se mehanički ukloniti na izvornu žbuku ili čak na temeljni zid. Za skidanje takvih slojeva prikladni su strojevi za grebanje s odgovarajućim diskovima za nanošenje. Kod poremećenih, trošnih temeljnih slojeva potrebno je nanijeti armaturni vapnenocementni ili cementni armaturni sloj i penetracijski premaz. Zidanje mora biti dovoljno zrelo, bez promjena volumena. </w:t>
      </w:r>
      <w:r>
        <w:rPr>
          <w:b/>
          <w:color w:val="666666"/>
          <w:sz w:val="16"/>
          <w:szCs w:val="16"/>
          <w:lang w:val="sk-SK" w:eastAsia="en-US" w:bidi="ar-SA"/>
        </w:rPr>
        <w:t xml:space="preserve">Upojne podloge prije nanošenja potrebno je premazati temeljnim premazom - FixPlus / StuccoPrimer. </w:t>
      </w:r>
      <w:r>
        <w:rPr>
          <w:color w:val="666666"/>
          <w:sz w:val="16"/>
          <w:szCs w:val="16"/>
          <w:lang w:val="sk-SK" w:eastAsia="en-US" w:bidi="ar-SA"/>
        </w:rPr>
        <w:t>Kako bi se održala ravnost fasade, preporučamo nanošenje žbuke uvijek između traka žbuke.</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Obrada</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Ručno nanošenje </w:t>
      </w:r>
      <w:r>
        <w:rPr>
          <w:color w:val="5E5E5E"/>
          <w:sz w:val="16"/>
          <w:szCs w:val="16"/>
          <w:lang w:val="sk-SK" w:eastAsia="en-US" w:bidi="ar-SA"/>
        </w:rPr>
        <w:t>- Žbuka se miješa u propisanoj količini vode za miješanje ručnom miješalicom najmanje 4 minute do stanja homogene konzistencije, bez grudica. Ostavite mješavinu žbuke da odstoji 5 minuta, a zatim ponovno dobro promiješajte. Ne miješati u mikseru na kap!</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VAŽNO! </w:t>
      </w:r>
      <w:r>
        <w:rPr>
          <w:color w:val="5E5E5E"/>
          <w:sz w:val="16"/>
          <w:lang w:val="sk-SK" w:eastAsia="en-US" w:bidi="ar-SA"/>
        </w:rPr>
        <w:t>Kako bi se osigurala homogena konzistencija morta tijekom nanošenja, potrebno je iskoristiti cijeli sadržaj vrećice. Preporuka je da kod nanošenja žbuke na veću površinu uvijek u odgovarajućoj posudi pomiješate najmanje 3 vrećice žbuke koju ćete početi nanositi na zid. U trenutku kada u posudi ostane otprilike posljednja trećina morta, umiješajte još dvije vreće žbuke i smjesu ponovno promiješajte s vodom do homogene konzistencije. Nije dopušteno djelomično korištenje sadržaja vrećice. Pokazatelj pravilno pripremljene žbuke je njegova jednolika gustoća bez grudica i sposobnost držanja na okrenutoj metalnoj žlici ili žlici.</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Tijekom nanošenja žbuku prilagođavamo plastičnom žlicom. Žbuka IsoTex R70 ima efekt "janjetine" s debljinom zrna do 2 mm. Nakon 48 sati preporuča se napraviti penetraciju ispod FixPlus premaza i zatim nanijeti ThermoShield® premaz.</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Strojno nanošenje </w:t>
      </w:r>
      <w:r>
        <w:rPr>
          <w:color w:val="5E5E5E"/>
          <w:sz w:val="16"/>
          <w:lang w:val="sk-SK" w:eastAsia="en-US" w:bidi="ar-SA"/>
        </w:rPr>
        <w:t>- Za nanošenje toplinsko-izolacijskih žbuka kod uporabe strojeva za žbukanje s integriranom zonom miješanja vrijede sljedeće postavke:</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Mlaznica: br.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Visina vodenog stupca: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UPOZORENJE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primjenjuje se na projektiranje, pripremu i izvođenje vanjskog žbukanja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Dodatno dodavanje veziva, punila i drugih sastojaka ili prosijavanje kroz smjesu nije dopušteno.</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Smjesa se može obrađivati samo </w:t>
      </w:r>
      <w:r>
        <w:rPr>
          <w:b/>
          <w:bCs/>
          <w:color w:val="C9211E"/>
          <w:sz w:val="16"/>
          <w:lang w:val="sk-SK" w:eastAsia="en-US" w:bidi="ar-SA"/>
        </w:rPr>
        <w:t xml:space="preserve">pri temperaturi zraka i podloge od +8°C do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Ne koristiti kada se očekuje mraz!</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Za miješanje smjese mora se koristiti voda za piće ili voda koja je u skladu s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Zbrinjavanje proizvoda: Iskorištenu ambalažu odložite na ovlašteno odlagalište otpada. Ostavite neiskorišteni materijal da se stvrdne i odložite ga na odlagalište komunalnog otpada. Vlastita priprema - šifra otpada 101311 Otpad od ostalih miješanih materijala koji nisu navedeni pod brojevima 101309 i 101310. Stvrdnuti materijal - šifra otpada 170904 Miješani građevinski otpad koji nije naveden pod brojevima 170901, 170902 i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Prva pomoć</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U slučaju zdravstvenih problema ili u slučaju sumnje, obavijestite liječnika.</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U slučaju udisanja izmjestiti unesrećenu osobu na svježi zrak, u slučaju otežanog disanja pozvati liječničku pomoć.</w:t>
      </w:r>
    </w:p>
    <w:p>
      <w:pPr>
        <w:pStyle w:val="Telotextu"/>
        <w:spacing w:before="0" w:after="192"/>
        <w:ind w:left="0" w:right="57" w:hanging="0"/>
        <w:jc w:val="both"/>
        <w:rPr>
          <w:lang w:val="sk-SK" w:eastAsia="en-US" w:bidi="ar-SA"/>
        </w:rPr>
      </w:pPr>
      <w:r>
        <w:rPr>
          <w:color w:val="5E5E5E"/>
          <w:lang w:val="sk-SK" w:eastAsia="en-US" w:bidi="ar-SA"/>
        </w:rPr>
        <w:t>U slučaju dodira s kožom, operite kožu čistom vodom i sapunom. Iritirana područja tretirajte obnavljajućom kremom.</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U slučaju kontakta s očima odmah ispirati otvorene kapke mlazom čiste vode 15 minuta. a zatim potražite liječničku pomoć.</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U slučaju gutanja isprati usta vodom, popiti 0,5 litara vode i potražiti liječničku pomoć. Ne izazivati povraćanje.</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Lijek može izazvati alergijsku reakciju u dodiru s kožom. Ako simptomi bilo kakvog udara (iritacije) uzrokovani dodirom s proizvodom ne nestanu nakon pružanja prve pomoći, potražite liječničku pomoć.</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Čuvati izvan dohvata djece!</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Sigurnosni i higijenski propisi</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Signalna riječ: </w:t>
      </w:r>
      <w:r>
        <w:rPr>
          <w:rFonts w:ascii="Arial Narrow" w:hAnsi="Arial Narrow"/>
          <w:b/>
          <w:bCs/>
          <w:color w:val="5E5E5E"/>
          <w:sz w:val="16"/>
          <w:szCs w:val="16"/>
          <w:shd w:fill="auto" w:val="clear"/>
          <w:lang w:val="sk-SK"/>
        </w:rPr>
        <w:t>Opasnost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Nadražuje kožu.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Uzrokuje ozbiljne ozljede oka.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Može nadražiti dišni sustav.</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Ako je potrebna liječnička pomoć, imajte spremnik ili naljepnicu proizvođača.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Čuvati izvan dohvata djece.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Izbjegavati udisanje prašine.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Koristiti zaštitne rukavice / zaštitnu odjeću / sigurnosne naočale / štitnik za lice.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U SLUČAJU DODIRA S OČIMA: Oprezno ispirati vodom nekoliko minuta. Uklonite kontaktne leće, ako ih nosite, i uklonite ih ako je moguće. Nastavite s ispiranjem.</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Odmah nazvati CENTAR ZA KONTROLU OTROVANJA ili liječnika.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U SLUČAJU DODIRA S KOŽOM: oprati s puno sapuna i vode. U slučaju iritacije kože ili osipa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Potražiti liječničku pomoć.</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AKO SE UDIŠE: Iznijeti osobu na svježi zrak i držati u položaju koji olakšava disanje.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Ako se ne osjećate dobro, nazovite CENTAR ZA KONTROLU OTROVANJA ili liječnika.</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Odložite sadržaj/ambalažu na sabirno mjesto određeno u skladu s lokalnim propisima.</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Skladištenje</w:t>
      </w:r>
    </w:p>
    <w:p>
      <w:pPr>
        <w:pStyle w:val="Telotextu"/>
        <w:spacing w:before="0" w:after="80"/>
        <w:ind w:left="0" w:right="57" w:hanging="0"/>
        <w:jc w:val="both"/>
        <w:rPr>
          <w:lang w:val="sk-SK" w:eastAsia="en-US" w:bidi="ar-SA"/>
        </w:rPr>
      </w:pPr>
      <w:r>
        <w:rPr>
          <w:color w:val="5E5E5E"/>
          <w:spacing w:val="-1"/>
          <w:sz w:val="16"/>
          <w:lang w:val="sk-SK" w:eastAsia="en-US" w:bidi="ar-SA"/>
        </w:rPr>
        <w:t xml:space="preserve">Proizvod čuvati na suhom mjestu u originalnom pakiranju - zaštititi od oštećenja, izlaganja vodi i visokoj relativnoj vlazi. Uz poštivanje navedenih uvjeta rok trajanja je </w:t>
      </w:r>
      <w:r>
        <w:rPr>
          <w:color w:val="5E5E5E"/>
          <w:spacing w:val="-1"/>
          <w:sz w:val="16"/>
          <w:lang w:val="sk-SK" w:eastAsia="en-US" w:bidi="ar-SA"/>
        </w:rPr>
        <w:t>12</w:t>
      </w:r>
      <w:r>
        <w:rPr>
          <w:color w:val="5E5E5E"/>
          <w:spacing w:val="-1"/>
          <w:sz w:val="16"/>
          <w:lang w:val="sk-SK" w:eastAsia="en-US" w:bidi="ar-SA"/>
        </w:rPr>
        <w:t xml:space="preserve"> mjeseci od datuma označenog na pakiranju.</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Ekspedicija</w:t>
      </w:r>
    </w:p>
    <w:p>
      <w:pPr>
        <w:pStyle w:val="Telotextu"/>
        <w:spacing w:before="0" w:after="80"/>
        <w:ind w:left="0" w:right="57" w:hanging="0"/>
        <w:jc w:val="both"/>
        <w:rPr>
          <w:lang w:val="sk-SK" w:eastAsia="en-US" w:bidi="ar-SA"/>
        </w:rPr>
      </w:pPr>
      <w:r>
        <w:rPr>
          <w:color w:val="5E5E5E"/>
          <w:spacing w:val="-1"/>
          <w:sz w:val="16"/>
          <w:lang w:val="sk-SK" w:eastAsia="en-US" w:bidi="ar-SA"/>
        </w:rPr>
        <w:t>Suha smjesa se isporučuje u papirnatim vrećama na paletama obloženim folijom.</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napravljeno</w:t>
      </w:r>
    </w:p>
    <w:p>
      <w:pPr>
        <w:pStyle w:val="Telotextu"/>
        <w:spacing w:lineRule="exact" w:line="183" w:before="0" w:after="80"/>
        <w:ind w:left="0" w:right="57" w:hanging="0"/>
        <w:jc w:val="both"/>
        <w:rPr>
          <w:lang w:val="sk-SK" w:eastAsia="en-US" w:bidi="ar-SA"/>
        </w:rPr>
      </w:pPr>
      <w:r>
        <w:rPr>
          <w:color w:val="5E5E5E"/>
          <w:spacing w:val="-1"/>
          <w:lang w:val="sk-SK" w:eastAsia="en-US" w:bidi="ar-SA"/>
        </w:rPr>
        <w:t>u EU za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Valjanost</w:t>
      </w:r>
    </w:p>
    <w:p>
      <w:pPr>
        <w:pStyle w:val="Telotextu"/>
        <w:spacing w:before="0" w:after="80"/>
        <w:ind w:left="0" w:right="57" w:hanging="0"/>
        <w:rPr>
          <w:lang w:val="sk-SK" w:eastAsia="en-US" w:bidi="ar-SA"/>
        </w:rPr>
      </w:pPr>
      <w:r>
        <w:rPr>
          <w:color w:val="5E5E5E"/>
          <w:lang w:val="sk-SK" w:eastAsia="en-US" w:bidi="ar-SA"/>
        </w:rPr>
        <w:t>Od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Budući da uporaba i obrada proizvoda nije pod našim izravnim utjecajem, ne odgovaramo za štete nastale njegovom nepravilnom uporabom. Zadržavamo pravo izmjena kao rezultat tehničkog napretka.</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Štand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Tehnički list: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hr-HR"/>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hr-H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hr-H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1114</Words>
  <Characters>6383</Characters>
  <CharactersWithSpaces>7396</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2025-06-13T11:23:47Z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