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Ιδιότητες και τρόπος χρήσης</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σοβάτισμα όλων των ειδών υλικών τοιχοποιίας, ιδιαίτερα υποστρωμάτων από τούβλα, αεριωμένο σκυρόδεμα και εξαρτήματα από σκυρόδεμα</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κατά την ανακαίνιση και την πρόσθετη μόνωση, μπορεί να εφαρμοστεί απευθείας σε χονδρόκοκκους σοβάδες βριζολίτη</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περιορισμός της διαρροής θερμότητας από το αντικείμενο λόγω της θερμικής αντίστασης της κατασκευής</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περιορισμός της διαρροής θερμότητας από το κτίριο λόγω θερμογεφυρών στους τοίχους</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δεν εμποδίζει την αφαίρεση υγρασίας από την τοιχοποιία λόγω του παράγοντα αντίστασης διάχυσης των υδρατμών</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μηχανικό και χειροκίνητο σοβάτισμα σε εξωτερικό και εσωτερικό περιβάλλον</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Σύνθεση</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Τσιμέντο Portland, ορυκτά πληρωτικά, ελαφριά πληρωτικά, χημικά πρόσθετα.</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Τεχνικές παράμετροι</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Θερμομονωτικός σοβάς εξωτερικού σοβά (T) κατά EN 998-1: 2003, κατηγορία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εφαρμόζεται με το χέρι</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Αντοχή σε θλίψη (κατηγορία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Ογκομετρικό βάρος σκληρυμένου κονιάματος</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Μέθοδος προσκόλλησης - αποκοπής (Β)</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Συντελεστής θερμικής αγωγιμότητας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Τ1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Συντελεστής αντίστασης διάχυσης υδρατμών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Χρόνος επεξεργασίας</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λεπτά.</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Αντίδραση στη φωτιά</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Α1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Πληροφοριακός</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εφαρμόζεται με το χέρι</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Κοκκοποίηση</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χλστ</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Ποσότητα νερού ανάμιξης</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Απόδοση με στρώμα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Συνιστώμενο μέγιστο πάχος εφαρμογής μιας στρώσης</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χλστ</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Μέγιστο πάχος σοβά</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Σύμφωνα με στατική εκτίμηση</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Ελάχιστη θερμοκρασία υποστρώματος και αέρα και σοβά</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Θερμομονωτικός σοβάς εξωτερικού σοβά (T) κατά EN 998-1: 2003, κατηγορία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εφαρμόζεται με μηχανή</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Αντοχή σε θλίψη (κατηγορία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Ογκομετρικό βάρος σκληρυμένου κονιάματος</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Μέθοδος προσκόλλησης - αποκοπής (Β)</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Συντελεστής θερμικής αγωγιμότητας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Τ1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Συντελεστής αντίστασης διάχυσης υδρατμών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Χρόνος επεξεργασίας</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λεπτά.</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Αντίδραση στη φωτιά</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Α1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Πληροφοριακός</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εφαρμοσμένη μηχανή</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Κοκκοποίηση</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χλστ</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Ποσότητα νερού ανάμιξης</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Σύμφωνα με τον τύπο της μηχανής σοβατίσματος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Απόδοση με στρώμα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Μέγιστο πάχος εφαρμογής μίας στρώσης</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χλστ</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Μέγιστο πάχος σοβά</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Σύμφωνα με στατική εκτίμηση</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Ελάχιστη θερμοκρασία υποστρώματος και αέρα και σοβά</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ΣΗΜΕΙΩΣΗ: Οι τεχνικές παράμετροι προσδιορίζονται υπό κανονικές συνθήκες (20 ± 2) °C και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Προετοιμασία του φόντου</w:t>
      </w:r>
    </w:p>
    <w:p>
      <w:pPr>
        <w:pStyle w:val="Telotextu"/>
        <w:spacing w:before="0" w:after="0"/>
        <w:ind w:left="0" w:right="57" w:hanging="0"/>
        <w:jc w:val="both"/>
        <w:rPr>
          <w:lang w:val="sk-SK" w:eastAsia="en-US" w:bidi="ar-SA"/>
        </w:rPr>
      </w:pPr>
      <w:r>
        <w:rPr>
          <w:color w:val="666666"/>
          <w:sz w:val="16"/>
          <w:szCs w:val="16"/>
          <w:lang w:val="sk-SK" w:eastAsia="en-US" w:bidi="ar-SA"/>
        </w:rPr>
        <w:t xml:space="preserve">Το υπόστρωμα πρέπει να είναι ανθεκτικό και ανθεκτικό, χωρίς σκόνες, υπολείμματα χρωμάτων, ασβέστη και γράσο. Δεν πρέπει να είναι υδατοαπωθητικό. Σε περίπτωση που το τρέχον υπόστρωμα ήταν εφοδιασμένο με επικάλυψη στο παρελθόν, πρέπει να αφαιρεθεί μηχανικά στον αρχικό σοβά ή ακόμα και στην υποκείμενη τοιχοποιία. Οι μηχανές γρατσουνίσματος με κατάλληλους δίσκους εφαρμογής είναι κατάλληλες για την αφαίρεση τέτοιων στρώσεων. Σε περίπτωση διαταραγμένων, εύθρυπτων στρώσεων βάσης, είναι απαραίτητο να εφαρμοστεί μια ενισχυτική ασβεστοτσιμεντοκονία ή ενισχυτική στρώση τσιμέντου και μια επικάλυψη διείσδυσης. Η τοιχοποιία πρέπει να είναι επαρκώς ωριμασμένη, χωρίς αλλαγές στον όγκο. </w:t>
      </w:r>
      <w:r>
        <w:rPr>
          <w:b/>
          <w:color w:val="666666"/>
          <w:sz w:val="16"/>
          <w:szCs w:val="16"/>
          <w:lang w:val="sk-SK" w:eastAsia="en-US" w:bidi="ar-SA"/>
        </w:rPr>
        <w:t xml:space="preserve">Τα απορροφητικά υποστρώματα πρέπει να ασταρωθούν πριν την εφαρμογή - FixPlus / StuccoPrimer. </w:t>
      </w:r>
      <w:r>
        <w:rPr>
          <w:color w:val="666666"/>
          <w:sz w:val="16"/>
          <w:szCs w:val="16"/>
          <w:lang w:val="sk-SK" w:eastAsia="en-US" w:bidi="ar-SA"/>
        </w:rPr>
        <w:t>Για να διατηρηθεί η επιπεδότητα της πρόσοψης, συνιστούμε να εφαρμόζετε πάντα τον σοβά ανάμεσα σε λωρίδες γύψου.</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Επεξεργασία</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α) Χειροκίνητη εφαρμογή </w:t>
      </w:r>
      <w:r>
        <w:rPr>
          <w:color w:val="5E5E5E"/>
          <w:sz w:val="16"/>
          <w:szCs w:val="16"/>
          <w:lang w:val="sk-SK" w:eastAsia="en-US" w:bidi="ar-SA"/>
        </w:rPr>
        <w:t>- Ο σοβάς αναμειγνύεται στην προβλεπόμενη ποσότητα νερού ανάμειξης χρησιμοποιώντας μίξερ χειρός για τουλάχιστον 4 λεπτά, σε κατάσταση ομοιογενούς σύστασης, χωρίς σβώλους. Αφήστε το μείγμα του κονιάματος να σταθεί για 5 λεπτά και μετά ανακατέψτε ξανά καλά. Μην ανακατεύετε σε μίξερ σταγόνας!</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ΣΠΟΥΔΑΙΟΣ! </w:t>
      </w:r>
      <w:r>
        <w:rPr>
          <w:color w:val="5E5E5E"/>
          <w:sz w:val="16"/>
          <w:lang w:val="sk-SK" w:eastAsia="en-US" w:bidi="ar-SA"/>
        </w:rPr>
        <w:t>Για να εξασφαλιστεί η ομοιογενής σύσταση του κονιάματος κατά την εφαρμογή, είναι απαραίτητο να χρησιμοποιηθεί ολόκληρο το περιεχόμενο του σάκου. Συνιστάται όταν απλώνετε σοβά σε μεγαλύτερη επιφάνεια, να αναμιγνύετε πάντα τουλάχιστον 3 σακουλάκια σοβά σε κατάλληλο δοχείο, το οποίο θα αρχίζετε να απλώνετε στον τοίχο. Τη στιγμή που περίπου το τελευταίο τρίτο του κονιάματος παραμένει στο δοχείο, ανακατεύουμε σε δύο ακόμη σακουλάκια γύψο και ανακατεύουμε ξανά το μείγμα με νερό σε ομοιογενή σύσταση. Δεν επιτρέπεται η μερική χρήση του περιεχομένου της τσάντας. Ένας δείκτης του σωστά προετοιμασμένου κονιάματος είναι η ομοιόμορφη πυκνότητά του χωρίς σβώλους και η ικανότητά του να συγκρατείται σε μια ανεστραμμένη μεταλλική σπάτουλα ή κουτάλι.</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Κατά την εφαρμογή προσαρμόζουμε τον σοβά με πλαστική μυστρί. Ο σοβάς IsoTex R70 έχει αποτέλεσμα «αρνιού» με πάχος κόκκων έως 2 mm. Μετά από 48 ώρες, συνιστάται η εφαρμογή της διείσδυσης κάτω από την επίστρωση FixPlus και στη συνέχεια η επίστρωση ThermoShield®.</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β) Εφαρμογή σε μηχανή </w:t>
      </w:r>
      <w:r>
        <w:rPr>
          <w:color w:val="5E5E5E"/>
          <w:sz w:val="16"/>
          <w:lang w:val="sk-SK" w:eastAsia="en-US" w:bidi="ar-SA"/>
        </w:rPr>
        <w:t>- Για την εφαρμογή θερμομονωτικών σοβάδων κατά τη χρήση μηχανημάτων σοβατίσματος με ενσωματωμένη ζώνη ανάμειξης, ισχύουν οι ακόλουθες ρυθμίσεις:</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Ακροφύσιο: όχι.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Ύψος στήλης νερού: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ΠΡΟΕΙΔΟΠΟΙΗΣΗ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Το EN 13914-1 ισχύει για το σχεδιασμό, την προετοιμασία και την υλοποίηση εξωτερικών σοβάδων</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Δεν επιτρέπεται η πρόσθετη προσθήκη συνδετικών, πληρωτικών και άλλων συστατικών ή το κοσκίνισμα του μείγματος.</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Το μείγμα μπορεί να υποβληθεί σε επεξεργασία μόνο </w:t>
      </w:r>
      <w:r>
        <w:rPr>
          <w:b/>
          <w:bCs/>
          <w:color w:val="C9211E"/>
          <w:sz w:val="16"/>
          <w:lang w:val="sk-SK" w:eastAsia="en-US" w:bidi="ar-SA"/>
        </w:rPr>
        <w:t xml:space="preserve">σε θερμοκρασία αέρα και υποστρώματος από +8°C έως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Μην το χρησιμοποιείτε όταν αναμένεται παγετός!</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Για την ανάμειξη του μείγματος πρέπει να χρησιμοποιείται πόσιμο νερό ή νερό σύμφωνα με το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Απόρριψη του προϊόντος: Τοποθετήστε τη χρησιμοποιημένη συσκευασία σε εξουσιοδοτημένο χώρο χωματερής. Αφήστε το αχρησιμοποίητο υλικό να σκληρύνει και τοποθετήστε το σε χωματερή αστικών απορριμμάτων. Ιδιοπαρασκευή - κωδικός αποβλήτων 101311 Απόβλητα από άλλα ανάμεικτα υλικά που δεν αναφέρονται στους αριθμούς 101309 και 101310. Σκληρυμένο υλικό - απόβλητα κωδικός 170904 Μικτά απόβλητα κατασκευών και κατεδαφίσεων που δεν αναφέρονται στους αριθμούς 170901, 170902 και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Πρώτες βοήθειες</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Σε περίπτωση προβλημάτων υγείας ή σε περίπτωση αμφιβολίας, ενημερώστε τον γιατρό.</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Σε περίπτωση εισπνοής, μεταφέρετε τον πάσχοντα σε καθαρό αέρα, σε περίπτωση δυσκολίας στην αναπνοή καλέστε ιατρική βοήθεια.</w:t>
      </w:r>
    </w:p>
    <w:p>
      <w:pPr>
        <w:pStyle w:val="Telotextu"/>
        <w:spacing w:before="0" w:after="192"/>
        <w:ind w:left="0" w:right="57" w:hanging="0"/>
        <w:jc w:val="both"/>
        <w:rPr>
          <w:lang w:val="sk-SK" w:eastAsia="en-US" w:bidi="ar-SA"/>
        </w:rPr>
      </w:pPr>
      <w:r>
        <w:rPr>
          <w:color w:val="5E5E5E"/>
          <w:lang w:val="sk-SK" w:eastAsia="en-US" w:bidi="ar-SA"/>
        </w:rPr>
        <w:t>Σε περίπτωση επαφής με το δέρμα, πλύνετε το δέρμα με καθαρό νερό και σαπούνι. Αντιμετωπίστε τις ερεθισμένες περιοχές με κρέμα επανόρθωσης.</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Σε περίπτωση επαφής με τα μάτια πλύνετε αμέσως τα βλέφαρα ανοιχτά με ροή καθαρού νερού για 15 λεπτά. και στη συνέχεια αναζητήστε ιατρική βοήθεια.</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Σε περίπτωση κατάποσης, ξεπλύνετε το στόμα σας με νερό, πιείτε 0,5 λίτρο νερό και ζητήστε ιατρική βοήθεια. Μην προκαλείτε εμετό.</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Το φάρμακο μπορεί να προκαλέσει αλλεργική αντίδραση σε επαφή με το δέρμα. Εάν τα συμπτώματα οποιασδήποτε πρόσκρουσης (ερεθισμού) που προκαλείται από την επαφή με το προϊόν δεν εξαφανιστούν μετά την παροχή πρώτων βοηθειών, αναζητήστε ιατρική βοήθεια.</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Φυλάσσεται μακριά από παιδιά!</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Κανονισμοί ασφάλειας και υγιεινής</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Προειδοποιητική λέξη: </w:t>
      </w:r>
      <w:r>
        <w:rPr>
          <w:rFonts w:ascii="Arial Narrow" w:hAnsi="Arial Narrow"/>
          <w:b/>
          <w:bCs/>
          <w:color w:val="5E5E5E"/>
          <w:sz w:val="16"/>
          <w:szCs w:val="16"/>
          <w:shd w:fill="auto" w:val="clear"/>
          <w:lang w:val="sk-SK"/>
        </w:rPr>
        <w:t>Κίνδυνος</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Ερεθίζει το δέρμα.</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Προκαλεί σοβαρή οφθαλμική βλάβη.</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Μπορεί να προκαλέσει ερεθισμό της αναπνοής.</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Εάν χρειάζεται ιατρική φροντίδα, να έχετε διαθέσιμη την ετικέτα του περιέκτη ή του κατασκευαστή.</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Μακριά από παιδιά.</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Αποφύγετε την αναπνοή της σκόνης.</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Χρησιμοποιήστε προστατευτικά γάντια / προστατευτικά ρούχα / γυαλιά ασφαλείας / ασπίδα προσώπου.</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ΣΕ ΠΕΡΙΠΤΩΣΗ ΕΠΑΦΗΣ ΜΕ ΤΑ ΜΑΤΙΑ: Ξεπλύνετε προσεκτικά με νερό για αρκετά λεπτά. Αφαιρέστε τους φακούς επαφής, εάν φοράτε, και αφαιρέστε τους εάν είναι δυνατόν. Συνεχίστε το ξέπλυμα.</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Καλέστε αμέσως ένα ΚΕΝΤΡΟ ΔΗΛΗΤΗΡΙΑΣΕΩΝ ή γιατρό/ιατρό.</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ΣΕ ΠΕΡΙΠΤΩΣΗ ΕΠΑΦΗΣ ΜΕ ΤΟ ΔΕΡΜΑ: Πλύνετε με άφθονο σαπούνι και νερό. Σε περίπτωση ερεθισμού του δέρματος ή εξανθήματος</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Ζητήστε ιατρική βοήθεια.</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ΣΕ ΠΕΡΙΠΤΩΣΗ ΕΙΣΠΝΟΗΣ: Μεταφέρετε το άτομο στον καθαρό αέρα και κρατήστε το σε θέση που διευκολύνει την αναπνοή.</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Εάν αισθανθείτε αδιαθεσία, καλέστε το ΚΕΝΤΡΟ ΔΗΛΗΤΗΡΙΑΣΕΩΝ ή γιατρό.</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Απορρίψτε το περιεχόμενο / τη συσκευασία σε σημείο συλλογής που έχει καθοριστεί σύμφωνα με τους τοπικούς κανονισμούς.</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Αποθήκευση</w:t>
      </w:r>
    </w:p>
    <w:p>
      <w:pPr>
        <w:pStyle w:val="Telotextu"/>
        <w:spacing w:before="0" w:after="80"/>
        <w:ind w:left="0" w:right="57" w:hanging="0"/>
        <w:jc w:val="both"/>
        <w:rPr>
          <w:lang w:val="sk-SK" w:eastAsia="en-US" w:bidi="ar-SA"/>
        </w:rPr>
      </w:pPr>
      <w:r>
        <w:rPr>
          <w:color w:val="5E5E5E"/>
          <w:spacing w:val="-1"/>
          <w:sz w:val="16"/>
          <w:lang w:val="sk-SK" w:eastAsia="en-US" w:bidi="ar-SA"/>
        </w:rPr>
        <w:t xml:space="preserve">Αποθηκεύστε το προϊόν σε ξηρό μέρος στην αρχική συσκευασία - προστατέψτε το από ζημιές, έκθεση σε νερό και υψηλή σχετική υγρασία. Εάν τηρηθούν οι αναφερόμενες συνθήκες, η διάρκεια ζωής είναι </w:t>
      </w:r>
      <w:r>
        <w:rPr>
          <w:color w:val="5E5E5E"/>
          <w:spacing w:val="-1"/>
          <w:sz w:val="16"/>
          <w:lang w:val="sk-SK" w:eastAsia="en-US" w:bidi="ar-SA"/>
        </w:rPr>
        <w:t>12</w:t>
      </w:r>
      <w:r>
        <w:rPr>
          <w:color w:val="5E5E5E"/>
          <w:spacing w:val="-1"/>
          <w:sz w:val="16"/>
          <w:lang w:val="sk-SK" w:eastAsia="en-US" w:bidi="ar-SA"/>
        </w:rPr>
        <w:t xml:space="preserve"> μήνες από την ημερομηνία που αναγράφεται στη συσκευασία.</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Εκστρατεία</w:t>
      </w:r>
    </w:p>
    <w:p>
      <w:pPr>
        <w:pStyle w:val="Telotextu"/>
        <w:spacing w:before="0" w:after="80"/>
        <w:ind w:left="0" w:right="57" w:hanging="0"/>
        <w:jc w:val="both"/>
        <w:rPr>
          <w:lang w:val="sk-SK" w:eastAsia="en-US" w:bidi="ar-SA"/>
        </w:rPr>
      </w:pPr>
      <w:r>
        <w:rPr>
          <w:color w:val="5E5E5E"/>
          <w:spacing w:val="-1"/>
          <w:sz w:val="16"/>
          <w:lang w:val="sk-SK" w:eastAsia="en-US" w:bidi="ar-SA"/>
        </w:rPr>
        <w:t>Το ξηρό μείγμα παραδίδεται σε χάρτινες σακούλες σε παλέτες καλυμμένες με αλουμινόχαρτο.</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Κατασκευασμένος</w:t>
      </w:r>
    </w:p>
    <w:p>
      <w:pPr>
        <w:pStyle w:val="Telotextu"/>
        <w:spacing w:lineRule="exact" w:line="183" w:before="0" w:after="80"/>
        <w:ind w:left="0" w:right="57" w:hanging="0"/>
        <w:jc w:val="both"/>
        <w:rPr>
          <w:lang w:val="sk-SK" w:eastAsia="en-US" w:bidi="ar-SA"/>
        </w:rPr>
      </w:pPr>
      <w:r>
        <w:rPr>
          <w:color w:val="5E5E5E"/>
          <w:spacing w:val="-1"/>
          <w:lang w:val="sk-SK" w:eastAsia="en-US" w:bidi="ar-SA"/>
        </w:rPr>
        <w:t>στην ΕΕ για την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Κύρος</w:t>
      </w:r>
    </w:p>
    <w:p>
      <w:pPr>
        <w:pStyle w:val="Telotextu"/>
        <w:spacing w:before="0" w:after="80"/>
        <w:ind w:left="0" w:right="57" w:hanging="0"/>
        <w:rPr>
          <w:lang w:val="sk-SK" w:eastAsia="en-US" w:bidi="ar-SA"/>
        </w:rPr>
      </w:pPr>
      <w:r>
        <w:rPr>
          <w:color w:val="5E5E5E"/>
          <w:lang w:val="sk-SK" w:eastAsia="en-US" w:bidi="ar-SA"/>
        </w:rPr>
        <w:t>Από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Εφόσον η χρήση και η επεξεργασία του προϊόντος δεν υπόκειται στην άμεση επιρροή μας, δεν φέρουμε ευθύνη για ζημιές που προκαλούνται από την εσφαλμένη χρήση του. Διατηρούμε το δικαίωμα να κάνουμε αλλαγές ως αποτέλεσμα τεχνικής προόδου.</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Περίπτερο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Τεχνικό φύλλο:</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l-GR"/>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l-G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el-G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1246</Words>
  <Characters>7279</Characters>
  <CharactersWithSpaces>8424</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2025-06-13T11:23:38Z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