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Propriétés et mode d'utilisation</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Enduit de tous types de matériaux de maçonnerie, notamment supports en brique, béton cellulaire et raccords en béton</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en rénovation et en isolation complémentaire, il peut être appliqué directement sur les enduits brizolite à gros grains</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limitation des fuites de chaleur de l'objet dues à la résistance thermique de la structure</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limitation des fuites de chaleur du bâtiment dues aux ponts thermiques dans les murs</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n'empêche pas l'élimination de l'humidité de la maçonnerie en raison du facteur de résistance à la diffusion de la vapeur d'eau</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plâtrage mécanique et manuel en environnements extérieurs et intérieurs</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Composition</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Ciment Portland, charges minérales, charges légères, additifs chimiques.</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Paramètres techniques</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Enduit d'isolation thermique pour enduit extérieur (T) selon EN 998-1 : 2003, catégorie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appliqué à la main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Résistance à la compression (catégorie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Poids volumétrique du mortier durci</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 </w:t>
            </w:r>
            <w:r>
              <w:rPr>
                <w:rFonts w:cs="Arial" w:ascii="Arial Narrow" w:hAnsi="Arial Narrow"/>
                <w:color w:val="666666"/>
                <w:sz w:val="16"/>
                <w:szCs w:val="16"/>
                <w:vertAlign w:val="superscript"/>
                <w:lang w:val="sk-SK" w:eastAsia="en-US" w:bidi="ar-SA"/>
              </w:rPr>
              <w:t>m3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Adhérence - méthode de déchirement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Coefficient de conductivité thermique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Facteur de résistance à la diffusion de la vapeur d'eau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Temps de traitement</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minutes.</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Réaction au feu</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Informatif</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appliqué à la main</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Granularité</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Quantité d'eau de gâchage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Rendement avec une couche de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 </w:t>
            </w:r>
            <w:r>
              <w:rPr>
                <w:rFonts w:ascii="Arial Narrow" w:hAnsi="Arial Narrow"/>
                <w:color w:val="666666"/>
                <w:sz w:val="16"/>
                <w:szCs w:val="16"/>
                <w:vertAlign w:val="superscript"/>
                <w:lang w:val="sk-SK" w:eastAsia="en-US" w:bidi="ar-SA"/>
              </w:rPr>
              <w:t>m2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Épaisseur d'application maximale recommandée d'une couche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millimètres</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Épaisseur maximale du plâtre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Selon évaluation statique</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Température minimale du support, de l'air et du plâtre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Enduit d'isolation thermique pour enduit extérieur (T) selon EN 998-1 : 2003, catégorie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appliqué à la machine</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Résistance à la compression (catégorie CS 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Poids volumétrique du mortier durci</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Adhérence - méthode de déchirement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Coefficient de conductivité thermique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Facteur de résistance à la diffusion de la vapeur d'eau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 (EN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Temps de traitement</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minutes.</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Réaction au feu</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Informatif</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appliqué à la machine</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Granularité</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Quantité d'eau de gâchage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Selon le type de machine à plâtrer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Rendement avec une couche de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 </w:t>
            </w:r>
            <w:r>
              <w:rPr>
                <w:rFonts w:ascii="Arial Narrow" w:hAnsi="Arial Narrow"/>
                <w:color w:val="666666"/>
                <w:sz w:val="16"/>
                <w:szCs w:val="16"/>
                <w:vertAlign w:val="superscript"/>
                <w:lang w:val="sk-SK" w:eastAsia="en-US" w:bidi="ar-SA"/>
              </w:rPr>
              <w:t>m2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Épaisseur maximale d'application d'une couche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millimètres</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Épaisseur maximale du plâtre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Selon évaluation statique</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Température minimale du support, de l'air et du plâtre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REMARQUE : Les paramètres techniques sont déterminés dans des conditions normales (20 ± 2) °C et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Préparation du fond</w:t>
      </w:r>
    </w:p>
    <w:p>
      <w:pPr>
        <w:pStyle w:val="Telotextu"/>
        <w:spacing w:before="0" w:after="0"/>
        <w:ind w:left="0" w:right="57" w:hanging="0"/>
        <w:jc w:val="both"/>
        <w:rPr>
          <w:lang w:val="sk-SK" w:eastAsia="en-US" w:bidi="ar-SA"/>
        </w:rPr>
      </w:pPr>
      <w:r>
        <w:rPr>
          <w:color w:val="666666"/>
          <w:sz w:val="16"/>
          <w:szCs w:val="16"/>
          <w:lang w:val="sk-SK" w:eastAsia="en-US" w:bidi="ar-SA"/>
        </w:rPr>
        <w:t xml:space="preserve">Le support doit être solide et porteur, exempt de poussière, de résidus de peinture, de chaux et de graisse. Ne doit pas être hydrofuge. Dans le cas où le support actuel a été pourvu d'un revêtement de revêtement dans le passé, celui-ci doit être enlevé mécaniquement jusqu'à l'enduit d'origine, voire jusqu'à la maçonnerie sous-jacente. Pour éliminer ces couches, des machines à gratter équipées de disques d'application appropriés conviennent. Dans le cas de couches de base perturbées et friables, il est nécessaire d'appliquer une couche de renfort en chaux-ciment ou en ciment et un revêtement de pénétration. La maçonnerie doit être suffisamment mûrie, sans changement de volume. </w:t>
      </w:r>
      <w:r>
        <w:rPr>
          <w:b/>
          <w:color w:val="666666"/>
          <w:sz w:val="16"/>
          <w:szCs w:val="16"/>
          <w:lang w:val="sk-SK" w:eastAsia="en-US" w:bidi="ar-SA"/>
        </w:rPr>
        <w:t xml:space="preserve">Les supports absorbants doivent être apprêtés avant application - FixPlus / StuccoPrimer. </w:t>
      </w:r>
      <w:r>
        <w:rPr>
          <w:color w:val="666666"/>
          <w:sz w:val="16"/>
          <w:szCs w:val="16"/>
          <w:lang w:val="sk-SK" w:eastAsia="en-US" w:bidi="ar-SA"/>
        </w:rPr>
        <w:t>Afin de conserver la planéité de la façade, nous recommandons de toujours appliquer l'enduit entre les bandes d'enduit.</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Traitement</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Application manuelle </w:t>
      </w:r>
      <w:r>
        <w:rPr>
          <w:color w:val="5E5E5E"/>
          <w:sz w:val="16"/>
          <w:szCs w:val="16"/>
          <w:lang w:val="sk-SK" w:eastAsia="en-US" w:bidi="ar-SA"/>
        </w:rPr>
        <w:t>- L'enduit est gâché dans la quantité prescrite d'eau de gâchage à l'aide d'un batteur à main pendant au moins 4 minutes, jusqu'à obtenir une consistance homogène, sans grumeaux. Laissez le mélange de mortier reposer pendant 5 minutes, puis mélangez à nouveau soigneusement. Ne mélangez pas dans un mixeur goutte à goutte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IMPORTANT! </w:t>
      </w:r>
      <w:r>
        <w:rPr>
          <w:color w:val="5E5E5E"/>
          <w:sz w:val="16"/>
          <w:lang w:val="sk-SK" w:eastAsia="en-US" w:bidi="ar-SA"/>
        </w:rPr>
        <w:t>Pour assurer une consistance homogène du mortier lors de l'application, il est nécessaire d'utiliser tout le contenu du sachet. Il est recommandé que lors de l'application de plâtre sur une plus grande surface, vous mélangez toujours au moins 3 sacs de plâtre dans un récipient approprié, que vous commencerez à appliquer sur le mur. Au moment où il reste environ le dernier tiers du mortier dans le récipient, incorporer deux autres sacs de plâtre et mélanger à nouveau le mélange avec de l'eau jusqu'à obtenir une consistance homogène. L'utilisation partielle du contenu du sac n'est pas autorisée. Un indicateur d'un mortier correctement préparé est sa densité uniforme sans grumeaux et sa capacité à tenir sur une truelle ou une cuillère en métal inversée.</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Lors de l'application, nous ajustons l'enduit avec une truelle en plastique. L'enduit IsoTex R70 a un effet « agneau » avec une épaisseur de grain allant jusqu'à 2 mm. Après 48 heures, il est recommandé d'appliquer la pénétration sous le revêtement FixPlus puis d'appliquer le revêtement ThermoShield®.</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Application en machine </w:t>
      </w:r>
      <w:r>
        <w:rPr>
          <w:color w:val="5E5E5E"/>
          <w:sz w:val="16"/>
          <w:lang w:val="sk-SK" w:eastAsia="en-US" w:bidi="ar-SA"/>
        </w:rPr>
        <w:t>- Pour l'application d'enduits calorifuges lors de l'utilisation de machines à plâtrer avec zone de mélange intégrée, les réglages suivants s'appliquent :</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Buse : non.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Hauteur de la colonne d'eau :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AVERTISSEMENT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La norme EN 13914-1 s'applique à la conception, à la préparation et à la mise en œuvre des enduits extérieurs.</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L'ajout supplémentaire de liants, de charges et d'autres ingrédients ou le tamisage du mélange n'est pas autorisé.</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Le mélange ne peut être traité qu'à </w:t>
      </w:r>
      <w:r>
        <w:rPr>
          <w:b/>
          <w:bCs/>
          <w:color w:val="C9211E"/>
          <w:sz w:val="16"/>
          <w:lang w:val="sk-SK" w:eastAsia="en-US" w:bidi="ar-SA"/>
        </w:rPr>
        <w:t xml:space="preserve">une température de l'air et du support comprise entre +8°C et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Ne pas utiliser en cas de risque de gel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De l'eau potable ou de l'eau conforme à la norme EN1008 doit être utilisée pour mélanger le mélange.</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Élimination du produit : Déposer les emballages usagés dans une décharge agréée. Laissez le matériau non utilisé durcir et déposez-le dans une décharge municipale. Préparation propre - code déchet 101311 Déchets d'autres matériaux mélangés non répertoriés sous les numéros 101309 et 101310. Matériau durci - code déchet 170904 Déchets mixtes de construction et de démolition non répertoriés sous les numéros 170901, 170902 et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PREMIERS SECOURS</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En cas de problèmes de santé ou en cas de doute, informez le médecin.</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En cas d'inhalation, amener la personne concernée à l'air frais, en cas de difficultés respiratoires, appeler un médecin.</w:t>
      </w:r>
    </w:p>
    <w:p>
      <w:pPr>
        <w:pStyle w:val="Telotextu"/>
        <w:spacing w:before="0" w:after="192"/>
        <w:ind w:left="0" w:right="57" w:hanging="0"/>
        <w:jc w:val="both"/>
        <w:rPr>
          <w:lang w:val="sk-SK" w:eastAsia="en-US" w:bidi="ar-SA"/>
        </w:rPr>
      </w:pPr>
      <w:r>
        <w:rPr>
          <w:color w:val="5E5E5E"/>
          <w:lang w:val="sk-SK" w:eastAsia="en-US" w:bidi="ar-SA"/>
        </w:rPr>
        <w:t>En cas de contact avec la peau, laver la peau à l'eau claire et au savon. Traitez les zones irritées avec une crème réparatrice.</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En cas de contact avec les yeux, laver immédiatement les paupières ouvertes avec un jet d'eau propre pendant 15 minutes. puis consultez un médecin.</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En cas d'ingestion, rincez-vous la bouche avec de l'eau, buvez 0,5 litre d'eau et consultez un médecin. Ne pas faire vomir.</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Le médicament peut provoquer une réaction allergique par contact avec la peau. Si les symptômes d'un impact (irritation) provoqué par le contact avec le produit ne disparaissent pas après avoir prodigué les premiers soins, consulter un médecin.</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Conserver hors de portée des enfants !</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Règles de sécurité et d'hygiène</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Mot d’avertissement :</w:t>
      </w:r>
      <w:r>
        <w:rPr>
          <w:rFonts w:ascii="Arial Narrow" w:hAnsi="Arial Narrow"/>
          <w:b/>
          <w:bCs/>
          <w:color w:val="5E5E5E"/>
          <w:sz w:val="16"/>
          <w:szCs w:val="16"/>
          <w:shd w:fill="auto" w:val="clear"/>
          <w:lang w:val="sk-SK"/>
        </w:rPr>
        <w:t> Danger</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Irritant pour la peau.</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Provoque des lésions oculaires graves.</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Peut provoquer une irritation respiratoire.</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Si des soins médicaux sont nécessaires, disposer de l'emballage ou de l'étiquette du fabricant.</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Conserver hors de portée des enfants.</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Éviter de respirer les poussières.</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Utiliser des gants de protection/des vêtements de protection/des lunettes de sécurité/un écran facial.</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 EN CAS DE CONTACT AVEC LES YEUX : Rincer avec précaution à l'eau pendant plusieurs minutes. Retirez les lentilles de contact, si vous en portez, et retirez-les si possible. Continuez à rincer.</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 Appeler immédiatement un CENTRE ANTIPOISON ou un médecin.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 EN CAS DE CONTACT AVEC LA PEAU : Laver abondamment à l'eau et au savon. En cas d'irritation ou d'éruption cutanée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 Consulter un médecin.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 EN CAS D'INHALATION : Amener la personne à l'air frais et la maintenir dans une position qui facilite la respiration.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Si vous ne vous sentez pas bien, appelez un CENTRE ANTIPOISON ou un médecin.</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Éliminer le contenu/emballage dans un point de collecte désigné conformément aux réglementations locales.</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Stockage</w:t>
      </w:r>
    </w:p>
    <w:p>
      <w:pPr>
        <w:pStyle w:val="Telotextu"/>
        <w:spacing w:before="0" w:after="80"/>
        <w:ind w:left="0" w:right="57" w:hanging="0"/>
        <w:jc w:val="both"/>
        <w:rPr>
          <w:lang w:val="sk-SK" w:eastAsia="en-US" w:bidi="ar-SA"/>
        </w:rPr>
      </w:pPr>
      <w:r>
        <w:rPr>
          <w:color w:val="5E5E5E"/>
          <w:spacing w:val="-1"/>
          <w:sz w:val="16"/>
          <w:lang w:val="sk-SK" w:eastAsia="en-US" w:bidi="ar-SA"/>
        </w:rPr>
        <w:t xml:space="preserve">Conservez le produit dans un endroit sec dans son emballage d'origine - protégez-le contre les dommages, l'exposition à l'eau et à une humidité relative élevée. Si les conditions indiquées sont respectées, la durée de conservation est de </w:t>
      </w:r>
      <w:r>
        <w:rPr>
          <w:color w:val="5E5E5E"/>
          <w:spacing w:val="-1"/>
          <w:sz w:val="16"/>
          <w:lang w:val="sk-SK" w:eastAsia="en-US" w:bidi="ar-SA"/>
        </w:rPr>
        <w:t>12</w:t>
      </w:r>
      <w:r>
        <w:rPr>
          <w:color w:val="5E5E5E"/>
          <w:spacing w:val="-1"/>
          <w:sz w:val="16"/>
          <w:lang w:val="sk-SK" w:eastAsia="en-US" w:bidi="ar-SA"/>
        </w:rPr>
        <w:t xml:space="preserve"> mois à compter de la date indiquée sur l'emballage.</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Expédition</w:t>
      </w:r>
    </w:p>
    <w:p>
      <w:pPr>
        <w:pStyle w:val="Telotextu"/>
        <w:spacing w:before="0" w:after="80"/>
        <w:ind w:left="0" w:right="57" w:hanging="0"/>
        <w:jc w:val="both"/>
        <w:rPr>
          <w:lang w:val="sk-SK" w:eastAsia="en-US" w:bidi="ar-SA"/>
        </w:rPr>
      </w:pPr>
      <w:r>
        <w:rPr>
          <w:color w:val="5E5E5E"/>
          <w:spacing w:val="-1"/>
          <w:sz w:val="16"/>
          <w:lang w:val="sk-SK" w:eastAsia="en-US" w:bidi="ar-SA"/>
        </w:rPr>
        <w:t>Le mélange sec est livré dans des sacs en papier sur des palettes recouvertes de papier d'aluminium.</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Fait</w:t>
      </w:r>
    </w:p>
    <w:p>
      <w:pPr>
        <w:pStyle w:val="Telotextu"/>
        <w:spacing w:lineRule="exact" w:line="183" w:before="0" w:after="80"/>
        <w:ind w:left="0" w:right="57" w:hanging="0"/>
        <w:jc w:val="both"/>
        <w:rPr>
          <w:lang w:val="sk-SK" w:eastAsia="en-US" w:bidi="ar-SA"/>
        </w:rPr>
      </w:pPr>
      <w:r>
        <w:rPr>
          <w:color w:val="5E5E5E"/>
          <w:spacing w:val="-1"/>
          <w:lang w:val="sk-SK" w:eastAsia="en-US" w:bidi="ar-SA"/>
        </w:rPr>
        <w:t>dans l'UE pour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Validité</w:t>
      </w:r>
    </w:p>
    <w:p>
      <w:pPr>
        <w:pStyle w:val="Telotextu"/>
        <w:spacing w:before="0" w:after="80"/>
        <w:ind w:left="0" w:right="57" w:hanging="0"/>
        <w:rPr>
          <w:lang w:val="sk-SK" w:eastAsia="en-US" w:bidi="ar-SA"/>
        </w:rPr>
      </w:pPr>
      <w:r>
        <w:rPr>
          <w:color w:val="5E5E5E"/>
          <w:lang w:val="sk-SK" w:eastAsia="en-US" w:bidi="ar-SA"/>
        </w:rPr>
        <w:t>À partir du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L'utilisation et le traitement du produit n'étant pas soumis à notre influence directe, nous ne sommes pas responsables des dommages causés par une utilisation incorrecte. Sous réserve de modifications dues au progrès technique.</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MC IsoTex | Stand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Fiche technique :</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fr-FR"/>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fr-F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fr-F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1418</Words>
  <Characters>7439</Characters>
  <CharactersWithSpaces>8756</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2025-06-13T11:23:25Z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