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Egenskaber og brugsmåde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pudsning af alle typer murværksmaterialer, især murstensunderlag, porebeton og betonbeslag</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under renovering og ekstra isolering kan den påføres direkte på grovkornede brizolitpudser</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begrænsning af varmelækage fra objektet på grund af konstruktionens termiske modstand</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begrænsning af varmelækage fra bygningen på grund af kuldebroer i væggene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forhindrer ikke fjernelse af fugt fra murværket på grund af vanddampens diffusionsmodstandsfaktor</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mekanisk og manuel pudsning i eksterne og indvendige miljøer</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Sammensætning</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Portlandcement, mineralske fyldstoffer, lette fyldstoffer, kemiske tilsætningsstoffer.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Tekniske parametre</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Termisk isoleringspuds til udvendig puds (T) i henhold til EN 998-1: 2003, kategori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påføres i hånden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Trykstyrke (kategori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Volumetrisk vægt af hærdet mørtel</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Overholdelse - afrivningsmetode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Koefficient for varmeledningsevne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Vanddampdiffusionsmodstandsfaktor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Behandlingstid</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på brand</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påføres i hånden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Mængden af blandevand</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Udbytte med et lag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Anbefalet maksimal påføringstykkelse på et lag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gipstykkelse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Ifølge statisk vurdering</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Minimumstemperatur på underlaget og luft og puds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Termisk isoleringspuds til udvendig puds (T) i henhold til EN 998-1: 2003, kategori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påføres med maskine</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Trykstyrke (kategori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Volumetrisk vægt af hærdet mørtel</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Overholdelse - afrivningsmetode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Koefficient for varmeledningsevne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Vanddampdiffusionsmodstandsfaktor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Behandlingstid</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Reaktion på brand</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maskine anvendt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Mængden af blandevand</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I henhold til typen af pudsemaskine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Udbytte med et lag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påføringstykkelse på et lag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gipstykkelse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Ifølge statisk vurdering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Minimumstemperatur på underlaget og luft og puds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BEMÆRK: Tekniske parametre bestemmes under normale forhold (20 ± 2) °C og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Forberedelse af baggrunden</w:t>
      </w:r>
    </w:p>
    <w:p>
      <w:pPr>
        <w:pStyle w:val="Telotextu"/>
        <w:spacing w:before="0" w:after="0"/>
        <w:ind w:left="0" w:right="57" w:hanging="0"/>
        <w:jc w:val="both"/>
        <w:rPr>
          <w:lang w:val="sk-SK" w:eastAsia="en-US" w:bidi="ar-SA"/>
        </w:rPr>
      </w:pPr>
      <w:r>
        <w:rPr>
          <w:color w:val="666666"/>
          <w:sz w:val="16"/>
          <w:szCs w:val="16"/>
          <w:lang w:val="sk-SK" w:eastAsia="en-US" w:bidi="ar-SA"/>
        </w:rPr>
        <w:t xml:space="preserve">Underlaget skal være stærkt og bærende, fri for støv, malingrester, kalk og fedt. Må ikke være vandafvisende. I tilfælde af at det nuværende underlag tidligere har været forsynet med en dækkende belægning, skal det fjernes mekanisk til den oprindelige puds, eller endda til det underliggende murværk. Ridsemaskiner med passende påføringsskiver er velegnede til at fjerne sådanne lag. Ved forstyrrede, sprøde grundlag er det nødvendigt at påføre et forstærkende kalkcement- eller cementforstærkningslag og en gennemtrængningsbelægning. Murværket skal være tilstrækkeligt modnet, uden ændringer i volumen. </w:t>
      </w:r>
      <w:r>
        <w:rPr>
          <w:b/>
          <w:color w:val="666666"/>
          <w:sz w:val="16"/>
          <w:szCs w:val="16"/>
          <w:lang w:val="sk-SK" w:eastAsia="en-US" w:bidi="ar-SA"/>
        </w:rPr>
        <w:t xml:space="preserve">Sugende underlag skal grundes før påføring - FixPlus / StuccoPrimer. </w:t>
      </w:r>
      <w:r>
        <w:rPr>
          <w:color w:val="666666"/>
          <w:sz w:val="16"/>
          <w:szCs w:val="16"/>
          <w:lang w:val="sk-SK" w:eastAsia="en-US" w:bidi="ar-SA"/>
        </w:rPr>
        <w:t>For at bevare facadens planhed anbefaler vi altid at påføre pudsen mellem pudsstrimler.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Forarbejdning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Manuel påføring </w:t>
      </w:r>
      <w:r>
        <w:rPr>
          <w:color w:val="5E5E5E"/>
          <w:sz w:val="16"/>
          <w:szCs w:val="16"/>
          <w:lang w:val="sk-SK" w:eastAsia="en-US" w:bidi="ar-SA"/>
        </w:rPr>
        <w:t>- Gipset blandes i den foreskrevne mængde blandevand med en håndmixer i mindst 4 minutter, til en tilstand af homogen konsistens uden klumper. Lad mørtelblandingen stå i 5 minutter, og bland derefter grundigt igen. Bland ikke i en dråbemixer!</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VIGTIG! </w:t>
      </w:r>
      <w:r>
        <w:rPr>
          <w:color w:val="5E5E5E"/>
          <w:sz w:val="16"/>
          <w:lang w:val="sk-SK" w:eastAsia="en-US" w:bidi="ar-SA"/>
        </w:rPr>
        <w:t>For at sikre en homogen konsistens af mørtlen under påføring er det nødvendigt at bruge hele posens indhold. Det anbefales, at man ved påføring af puds på et større område altid blander mindst 3 poser puds i en passende beholder, som man begynder at påføre på væggen. I det øjeblik, hvor cirka den sidste tredjedel af mørtlen forbliver i beholderen, blandes i yderligere to poser med gips og blandes blandingen med vand igen til en homogen konsistens. Delvis brug af posens indhold er ikke tilladt. En indikator for korrekt forberedt mørtel er dens ensartede tæthed uden klumper og dens evne til at holde på en omvendt metalspartel eller ske.</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Under påføringen justerer vi gipsen med en plastikspartel. IsoTex R70 puds har en "lam" effekt med en korntykkelse på op til 2 mm. Efter 48 timer anbefales det at påføre penetrationen under FixPlus-belægningen og derefter påføre ThermoShield®-belægningen.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Maskinpåføring </w:t>
      </w:r>
      <w:r>
        <w:rPr>
          <w:color w:val="5E5E5E"/>
          <w:sz w:val="16"/>
          <w:lang w:val="sk-SK" w:eastAsia="en-US" w:bidi="ar-SA"/>
        </w:rPr>
        <w:t>- Ved påføring af varmeisolerende puds ved brug af pudsemaskiner med integreret blandezone gælder følgende indstillinger:</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Dyse: nej.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Vandsøjlens højde: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ADVARSEL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gælder for design, klargøring og implementering af udvendig pudsning</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Yderligere tilsætning af bindemidler, fyldstoffer og andre ingredienser eller sigtning gennem blandingen er ikke tilladt.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Blandingen kan kun forarbejdes </w:t>
      </w:r>
      <w:r>
        <w:rPr>
          <w:b/>
          <w:bCs/>
          <w:color w:val="C9211E"/>
          <w:sz w:val="16"/>
          <w:lang w:val="sk-SK" w:eastAsia="en-US" w:bidi="ar-SA"/>
        </w:rPr>
        <w:t xml:space="preserve">ved en luft- og underlagstemperatur på +8°C til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Må ikke bruges, når der forventes frost!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Der skal bruges drikkevand eller vand i overensstemmelse med EN1008 til at blande blandingen.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Bortskaffelse af produktet: Anbring den brugte emballage på en autoriseret affaldsplads. Lad det ubrugte materiale hærde og læg det på en kommunal affaldsplads. Egen klargøring - affaldskode 101311 Affald fra andre blandede materialer, der ikke er opført under numrene 101309 og 101310. Hærdet materiale - affaldskode 170904 Blandet bygge- og anlægsaffald ikke opført under numrene 170901, 170902 og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Førstehjælp</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 tilfælde af helbredsproblemer eller i tvivlstilfælde skal du informere lægen.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I tilfælde af indånding, flyt den berørte person til frisk luft, i tilfælde af åndedrætsbesvær tilkald lægehjælp.</w:t>
      </w:r>
    </w:p>
    <w:p>
      <w:pPr>
        <w:pStyle w:val="Telotextu"/>
        <w:spacing w:before="0" w:after="192"/>
        <w:ind w:left="0" w:right="57" w:hanging="0"/>
        <w:jc w:val="both"/>
        <w:rPr>
          <w:lang w:val="sk-SK" w:eastAsia="en-US" w:bidi="ar-SA"/>
        </w:rPr>
      </w:pPr>
      <w:r>
        <w:rPr>
          <w:color w:val="5E5E5E"/>
          <w:lang w:val="sk-SK" w:eastAsia="en-US" w:bidi="ar-SA"/>
        </w:rPr>
        <w:t>I tilfælde af hudkontakt, vask huden med rent vand og sæbe. Behandl irriterede områder med reparationscreme.</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I tilfælde af kontakt med øjnene, vask straks øjenlågene åbne med en strøm af rent vand i 15 minutter. og søg derefter læge.</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Ved indtagelse, skyl munden med vand, drik 0,5 liter vand og søg lægehjælp. Fremkald ikke opkastning.</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Lægemidlet kan forårsage en allergisk reaktion i kontakt med huden. Hvis symptomerne på en påvirkning (irritation) forårsaget af kontakt med produktet ikke forsvinder efter førstehjælp, søg lægehjælp.</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Opbevares utilgængeligt for børn!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Sikkerheds- og hygiejnebestemmelser</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Signalord: </w:t>
      </w:r>
      <w:r>
        <w:rPr>
          <w:rFonts w:ascii="Arial Narrow" w:hAnsi="Arial Narrow"/>
          <w:b/>
          <w:bCs/>
          <w:color w:val="5E5E5E"/>
          <w:sz w:val="16"/>
          <w:szCs w:val="16"/>
          <w:shd w:fill="auto" w:val="clear"/>
          <w:lang w:val="sk-SK"/>
        </w:rPr>
        <w:t>Fare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Irriterer huden.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Forårsager alvorlig øjenskade.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Kan forårsage irritation af luftvejene.</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Hvis der er behov for lægehjælp, hav beholderen eller producentens etiket til rådighed.</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Opbevares utilgængeligt for børn.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Undgå indånding af støv.</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Brug beskyttelseshandsker / beskyttelsestøj / sikkerhedsbriller / ansigtsskærm.</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VED KONTAKT MED ØJNENE: Skyl forsigtigt med vand i flere minutter. Fjern kontaktlinser, hvis de bæres, og fjern dem, hvis det er muligt. Fortsæt med at skylle.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Ring omgående til en GIFTINFORMATION eller en læge.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VED KONTAKT MED HUDEN: Vask med rigeligt vand og sæbe. I tilfælde af hudirritation eller udslæt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Søg lægehjælp.</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VED INDÅNDING: Flyt personen til frisk luft og hold i en stilling, der letter vejrtrækningen.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Ring til et GIFTINFORMATIONSCENTRAL eller en læge, hvis du føler dig utilpas.</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Bortskaf indholdet/emballagen på et indsamlingssted, der er udpeget i henhold til lokale regler.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Opbevaring</w:t>
      </w:r>
    </w:p>
    <w:p>
      <w:pPr>
        <w:pStyle w:val="Telotextu"/>
        <w:spacing w:before="0" w:after="80"/>
        <w:ind w:left="0" w:right="57" w:hanging="0"/>
        <w:jc w:val="both"/>
        <w:rPr>
          <w:lang w:val="sk-SK" w:eastAsia="en-US" w:bidi="ar-SA"/>
        </w:rPr>
      </w:pPr>
      <w:r>
        <w:rPr>
          <w:color w:val="5E5E5E"/>
          <w:spacing w:val="-1"/>
          <w:sz w:val="16"/>
          <w:lang w:val="sk-SK" w:eastAsia="en-US" w:bidi="ar-SA"/>
        </w:rPr>
        <w:t xml:space="preserve">Opbevar produktet på et tørt sted i den originale emballage - beskyt mod skader, udsættelse for vand og høj relativ luftfugtighed. Hvis de angivne forhold overholdes, er holdbarheden </w:t>
      </w:r>
      <w:r>
        <w:rPr>
          <w:color w:val="5E5E5E"/>
          <w:spacing w:val="-1"/>
          <w:sz w:val="16"/>
          <w:lang w:val="sk-SK" w:eastAsia="en-US" w:bidi="ar-SA"/>
        </w:rPr>
        <w:t>12</w:t>
      </w:r>
      <w:r>
        <w:rPr>
          <w:color w:val="5E5E5E"/>
          <w:spacing w:val="-1"/>
          <w:sz w:val="16"/>
          <w:lang w:val="sk-SK" w:eastAsia="en-US" w:bidi="ar-SA"/>
        </w:rPr>
        <w:t xml:space="preserve"> måneder fra den dato, der er angivet på emballagen.</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Ekspedition</w:t>
      </w:r>
    </w:p>
    <w:p>
      <w:pPr>
        <w:pStyle w:val="Telotextu"/>
        <w:spacing w:before="0" w:after="80"/>
        <w:ind w:left="0" w:right="57" w:hanging="0"/>
        <w:jc w:val="both"/>
        <w:rPr>
          <w:lang w:val="sk-SK" w:eastAsia="en-US" w:bidi="ar-SA"/>
        </w:rPr>
      </w:pPr>
      <w:r>
        <w:rPr>
          <w:color w:val="5E5E5E"/>
          <w:spacing w:val="-1"/>
          <w:sz w:val="16"/>
          <w:lang w:val="sk-SK" w:eastAsia="en-US" w:bidi="ar-SA"/>
        </w:rPr>
        <w:t>Den tørre blanding leveres i papirsposer på paller beklædt med folie.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Lavet</w:t>
      </w:r>
    </w:p>
    <w:p>
      <w:pPr>
        <w:pStyle w:val="Telotextu"/>
        <w:spacing w:lineRule="exact" w:line="183" w:before="0" w:after="80"/>
        <w:ind w:left="0" w:right="57" w:hanging="0"/>
        <w:jc w:val="both"/>
        <w:rPr>
          <w:lang w:val="sk-SK" w:eastAsia="en-US" w:bidi="ar-SA"/>
        </w:rPr>
      </w:pPr>
      <w:r>
        <w:rPr>
          <w:color w:val="5E5E5E"/>
          <w:spacing w:val="-1"/>
          <w:lang w:val="sk-SK" w:eastAsia="en-US" w:bidi="ar-SA"/>
        </w:rPr>
        <w:t>i EU for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Gyldighed</w:t>
      </w:r>
    </w:p>
    <w:p>
      <w:pPr>
        <w:pStyle w:val="Telotextu"/>
        <w:spacing w:before="0" w:after="80"/>
        <w:ind w:left="0" w:right="57" w:hanging="0"/>
        <w:rPr>
          <w:lang w:val="sk-SK" w:eastAsia="en-US" w:bidi="ar-SA"/>
        </w:rPr>
      </w:pPr>
      <w:r>
        <w:rPr>
          <w:color w:val="5E5E5E"/>
          <w:lang w:val="sk-SK" w:eastAsia="en-US" w:bidi="ar-SA"/>
        </w:rPr>
        <w:t>Fra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Da brugen og behandlingen af produktet ikke er underlagt vores direkte indflydelse, er vi ikke ansvarlige for skader forårsaget af dets forkerte brug. Vi forbeholder os ret til ændringer som følge af tekniske fremskridt.</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Teknisk ark:</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da-DK"/>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da-DK"/>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da-DK"/>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1138</Words>
  <Characters>6464</Characters>
  <CharactersWithSpaces>7501</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2025-06-13T11:22:36Z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