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Eigenschaften und Verwendungsweise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Verputzen von Mauerwerksmaterialien aller Art, insbesondere von Ziegeluntergründen, Porenbeton und Einbaubeton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Bei Renovierung und zusätzlicher Isolierung kann es direkt auf grobkörnigen Brizolitputzen aufgetragen werden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Begrenzung des Wärmeaustritts aus dem Objekt aufgrund des Wärmewiderstands der Struktur</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Begrenzung des Wärmeaustritts aus dem Gebäude aufgrund von Wärmebrücken in den Wänden</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verhindert aufgrund des Diffusionswiderstandes von Wasserdampf nicht den Abtransport von Feuchtigkeit aus dem Mauerwerk</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Mechanisches und manuelles Verputzen im Außen- und Innenbereich</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Komposition</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Portlandzement, mineralische Füllstoffe, Leichtfüllstoffe, chemische Zusätze.</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technische Parameter</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Wärmedämmputz für Außenputz (T) nach EN 998-1:2003, Kategorie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von Hand aufgetragen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Druckfestigkeit (Kategorie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Volumengewicht des ausgehärteten Mörtels</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Haftung – Abreißmethode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Wärmeleitfähigkeitskoeffizient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Wasserdampfdiffusionswiderstandsfaktor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Bearbeitungszeit</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auf Feuer</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von Hand aufgetragen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Die Granularität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Menge Anmachwasser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Ergiebigkeit bei einer Schichtdicke von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m²</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Empfohlene maximale Auftragsdicke von einer Schicht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Putzdicke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Laut statischer Beurteilung</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Mindesttemperatur des Untergrunds sowie der Luft und des Putzes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799"/>
        <w:gridCol w:w="666"/>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Wärmedämmputz für Außenputz (T) nach EN 998-1:2003, Kategorie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maschinell aufgetragen</w:t>
            </w:r>
          </w:p>
        </w:tc>
      </w:tr>
      <w:tr>
        <w:trPr/>
        <w:tc>
          <w:tcPr>
            <w:tcW w:w="799"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Druckfestigkeit (Kategorie CS I)</w:t>
            </w:r>
          </w:p>
        </w:tc>
        <w:tc>
          <w:tcPr>
            <w:tcW w:w="66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Volumengewicht des ausgehärteten Mörtels</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799"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Haftung – Abreißmethode (B)</w:t>
            </w:r>
          </w:p>
        </w:tc>
        <w:tc>
          <w:tcPr>
            <w:tcW w:w="66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Wärmeleitfähigkeitskoeffizient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799"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Wasserdampfdiffusionswiderstandsfaktor μ</w:t>
            </w:r>
          </w:p>
        </w:tc>
        <w:tc>
          <w:tcPr>
            <w:tcW w:w="66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Bearbeitungszeit</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799"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auf Feuer</w:t>
            </w:r>
          </w:p>
        </w:tc>
        <w:tc>
          <w:tcPr>
            <w:tcW w:w="66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maschinell angewendet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Die Granularität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Menge Anmachwasser</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Je nach Typ der Putzmaschine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Ergiebigkeit bei einer Schichtdicke von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m²</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Auftragsdicke einer Schicht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Maximale Putzdicke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Laut statischer Beurteilung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Mindesttemperatur des Untergrunds sowie der Luft und des Putzes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HINWEIS: Technische Parameter werden unter normalen Bedingungen (20 ± 2) °C und (65 ± 5) °C ermittelt</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 xml:space="preserve">Vorbereitung des </w:t>
      </w:r>
      <w:r>
        <w:rPr>
          <w:rFonts w:ascii="Arial Narrow" w:hAnsi="Arial Narrow"/>
          <w:b/>
          <w:color w:val="FFFFFF"/>
          <w:sz w:val="18"/>
          <w:szCs w:val="18"/>
          <w:lang w:val="sk-SK" w:eastAsia="en-US" w:bidi="ar-SA"/>
        </w:rPr>
        <w:t>Untergrundes</w:t>
      </w:r>
    </w:p>
    <w:p>
      <w:pPr>
        <w:pStyle w:val="Telotextu"/>
        <w:spacing w:before="0" w:after="0"/>
        <w:ind w:left="0" w:right="57" w:hanging="0"/>
        <w:jc w:val="both"/>
        <w:rPr>
          <w:lang w:val="sk-SK" w:eastAsia="en-US" w:bidi="ar-SA"/>
        </w:rPr>
      </w:pPr>
      <w:r>
        <w:rPr>
          <w:color w:val="666666"/>
          <w:sz w:val="16"/>
          <w:szCs w:val="16"/>
          <w:lang w:val="sk-SK" w:eastAsia="en-US" w:bidi="ar-SA"/>
        </w:rPr>
        <w:t xml:space="preserve">Der Untergrund muss fest und tragfähig, frei von Staub, Farbresten, Kalk und Fett sein. Darf nicht wasserabweisend sein. Für den Fall, dass der aktuelle Untergrund in der Vergangenheit mit einem deckenden Anstrich versehen war, muss dieser mechanisch bis auf den ursprünglichen Putz oder sogar auf das darunter liegende Mauerwerk entfernt werden. Zum Entfernen solcher Schichten eignen sich Kratzgeräte mit entsprechenden Auftragsscheiben. Bei gestörten, bröckeligen Tragschichten ist das Aufbringen einer armierenden Kalk-Zement- oder Zementarmierungsschicht und einer Penetrationsbeschichtung erforderlich. Das Mauerwerk muss ausreichend ausgereift sein, ohne Volumenveränderungen. </w:t>
      </w:r>
      <w:r>
        <w:rPr>
          <w:b/>
          <w:color w:val="666666"/>
          <w:sz w:val="16"/>
          <w:szCs w:val="16"/>
          <w:lang w:val="sk-SK" w:eastAsia="en-US" w:bidi="ar-SA"/>
        </w:rPr>
        <w:t xml:space="preserve">Saugende Untergründe müssen vor der Anwendung grundiert werden – FixPlus / StuccoPrimer. </w:t>
      </w:r>
      <w:r>
        <w:rPr>
          <w:color w:val="666666"/>
          <w:sz w:val="16"/>
          <w:szCs w:val="16"/>
          <w:lang w:val="sk-SK" w:eastAsia="en-US" w:bidi="ar-SA"/>
        </w:rPr>
        <w:t>Um die Ebenheit der Fassade zu erhalten, empfehlen wir, den Putz immer zwischen den Putzstreifen aufzutragen.</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Verarbeitung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Manuelle Verarbeitung </w:t>
      </w:r>
      <w:r>
        <w:rPr>
          <w:color w:val="5E5E5E"/>
          <w:sz w:val="16"/>
          <w:szCs w:val="16"/>
          <w:lang w:val="sk-SK" w:eastAsia="en-US" w:bidi="ar-SA"/>
        </w:rPr>
        <w:t>– Der Putz wird in der vorgeschriebenen Menge Anmachwasser mit einem Handrührgerät mindestens 4 Minuten lang zu einer homogenen, klumpenfreien Konsistenz angemischt. Lassen Sie die Mörtelmischung 5 Minuten stehen und mischen Sie sie anschließend erneut gründlich durch. Nicht im Tropfmixer mischen!</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WICHTIG! </w:t>
      </w:r>
      <w:r>
        <w:rPr>
          <w:color w:val="5E5E5E"/>
          <w:sz w:val="16"/>
          <w:lang w:val="sk-SK" w:eastAsia="en-US" w:bidi="ar-SA"/>
        </w:rPr>
        <w:t>Um eine homogene Konsistenz des Mörtels beim Auftragen zu gewährleisten, ist es notwendig, den gesamten Beutelinhalt zu verwenden. Beim Auftragen von Putz auf einer größeren Fläche empfiehlt es sich, immer mindestens 3 Beutel Putz in einem geeigneten Behälter anzumischen, den wir dann auf die Wand auftragen. Sobald etwa das letzte Drittel des Mörtels im Behälter verbleibt, mischen Sie zwei weitere Säcke Gips hinein und vermischen die Mischung erneut mit Wasser, bis eine homogene Konsistenz entsteht. Eine teilweise Nutzung des Beutelinhalts ist nicht gestattet. Ein Indikator für richtig zubereiteten Mörtel ist seine gleichmäßige Dichte ohne Klumpen und seine Fähigkeit, sich auf einer umgedrehten Metallkelle oder einem Löffel festzuhalten.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Während des Auftragens passen wir den Putz mit einer Kunststoffkelle an. IsoTex R70-Putz hat einen „Lamm“-Effekt mit einer Kornstärke von bis zu 2 mm. Nach 48 Stunden wird empfohlen, die Penetration unter der FixPlus-Beschichtung vorzunehmen und anschließend die ThermoShield®-Beschichtung aufzutragen.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Maschinelle Verarbeitung </w:t>
      </w:r>
      <w:r>
        <w:rPr>
          <w:color w:val="5E5E5E"/>
          <w:sz w:val="16"/>
          <w:lang w:val="sk-SK" w:eastAsia="en-US" w:bidi="ar-SA"/>
        </w:rPr>
        <w:t>– Für die Verarbeitung von Wärmedämmputzen bei Verwendung von Putzmaschinen mit integrierter Mischzone gelten folgende Einstellungen:</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Düse: nein.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Höhe der Wassersäule: 400-500</w:t>
      </w:r>
    </w:p>
    <w:p>
      <w:pPr>
        <w:pStyle w:val="Telotextu"/>
        <w:widowControl w:val="false"/>
        <w:suppressAutoHyphens w:val="false"/>
        <w:spacing w:lineRule="auto" w:line="240" w:before="0" w:after="80"/>
        <w:ind w:left="0" w:right="57" w:hanging="0"/>
        <w:jc w:val="both"/>
        <w:rPr>
          <w:rFonts w:ascii="Arial Narrow" w:hAnsi="Arial Narrow"/>
          <w:color w:val="5E5E5E"/>
          <w:sz w:val="16"/>
          <w:lang w:val="sk-SK" w:eastAsia="en-US" w:bidi="ar-SA"/>
        </w:rPr>
      </w:pPr>
      <w:r>
        <w:rPr>
          <w:color w:val="5E5E5E"/>
          <w:sz w:val="16"/>
          <w:lang w:val="sk-SK" w:eastAsia="en-US" w:bidi="ar-SA"/>
        </w:rPr>
        <w:t>BEACHTEN:</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gilt für die Planung, Vorbereitung und Ausführung von Außenputzen</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Eine zusätzliche Zugabe von Bindemitteln, Füllstoffen und anderen Zutaten oder ein Durchsieben der Mischung ist nicht zulässig.</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Die Mischung ist nur bei Luft- und Untergrundtemperaturen von + 5 °C verarbeitbar!!! Nicht verwenden, wenn Frost zu erwarten ist!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Zum Mischen der Mischung muss Trinkwasser oder Wasser gemäß EN1008 verwendet werden.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Entsorgung des Produkts: Entsorgen Sie die gebrauchte Verpackung auf einer zugelassenen Mülldeponie. Lassen Sie das nicht verwendete Material aushärten und entsorgen Sie es auf einer städtischen Mülldeponie. Eigene Aufbereitung - Abfallschlüssel 101311 Abfälle aus anderen gemischten Materialien, die nicht unter den Nummern 101309 und 101310 aufgeführt sind. Ausgehärtetes Material - Abfallschlüssel 170904 Gemischte Bau- und Abbruchabfälle, die nicht unter den Nummern 170901, 170902 und 170903 aufgeführt sind.</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Erste Hilfe</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Bei gesundheitlichen Problemen oder im Zweifelsfall den Arzt benachrichtigen.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Bei Einatmen die betroffene Person an die frische Luft bringen, bei Atembeschwerden ärztliche Hilfe hinzuziehen.</w:t>
      </w:r>
    </w:p>
    <w:p>
      <w:pPr>
        <w:pStyle w:val="Telotextu"/>
        <w:spacing w:before="0" w:after="192"/>
        <w:ind w:left="0" w:right="57" w:hanging="0"/>
        <w:jc w:val="both"/>
        <w:rPr>
          <w:lang w:val="sk-SK" w:eastAsia="en-US" w:bidi="ar-SA"/>
        </w:rPr>
      </w:pPr>
      <w:r>
        <w:rPr>
          <w:color w:val="5E5E5E"/>
          <w:lang w:val="sk-SK" w:eastAsia="en-US" w:bidi="ar-SA"/>
        </w:rPr>
        <w:t>Bei Hautkontakt die Haut mit klarem Wasser und Seife waschen. Behandeln Sie gereizte Stellen mit Reparaturcreme.</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Bei Kontakt mit den Augen spülen Sie die Augenlider sofort 15 Minuten lang mit einem Strahl klarem Wasser aus. und suchen Sie dann einen Arzt auf.</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Bei Verschlucken den Mund mit Wasser ausspülen, 0,5 Liter Wasser trinken und einen Arzt aufsuchen. Kein Erbrechen herbeiführen.</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Das Material kann bei Hautkontakt eine allergische Reaktion hervorrufen. Wenn die Symptome einer durch den Kontakt mit dem Produkt verursachten Wirkung (Reizung) nach der Erstversorgung nicht verschwinden, suchen Sie einen Arzt auf.</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Außerhalb der Reichweite von Kindern aufbewahren!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Sicherheits- und Hygienevorschriften</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46430" cy="646430"/>
            <wp:effectExtent l="0" t="0" r="0" b="0"/>
            <wp:docPr id="1"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descr=""/>
                    <pic:cNvPicPr>
                      <a:picLocks noChangeAspect="1" noChangeArrowheads="1"/>
                    </pic:cNvPicPr>
                  </pic:nvPicPr>
                  <pic:blipFill>
                    <a:blip r:embed="rId2"/>
                    <a:stretch>
                      <a:fillRect/>
                    </a:stretch>
                  </pic:blipFill>
                  <pic:spPr bwMode="auto">
                    <a:xfrm>
                      <a:off x="0" y="0"/>
                      <a:ext cx="646430" cy="646430"/>
                    </a:xfrm>
                    <a:prstGeom prst="rect">
                      <a:avLst/>
                    </a:prstGeom>
                  </pic:spPr>
                </pic:pic>
              </a:graphicData>
            </a:graphic>
          </wp:inline>
        </w:drawing>
      </w:r>
      <w:r>
        <w:rPr/>
        <w:drawing>
          <wp:inline distT="0" distB="0" distL="0" distR="0">
            <wp:extent cx="632460" cy="632460"/>
            <wp:effectExtent l="0" t="0" r="0" b="0"/>
            <wp:docPr id="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
                    <pic:cNvPicPr>
                      <a:picLocks noChangeAspect="1" noChangeArrowheads="1"/>
                    </pic:cNvPicPr>
                  </pic:nvPicPr>
                  <pic:blipFill>
                    <a:blip r:embed="rId3"/>
                    <a:stretch>
                      <a:fillRect/>
                    </a:stretch>
                  </pic:blipFill>
                  <pic:spPr bwMode="auto">
                    <a:xfrm>
                      <a:off x="0" y="0"/>
                      <a:ext cx="632460" cy="632460"/>
                    </a:xfrm>
                    <a:prstGeom prst="rect">
                      <a:avLst/>
                    </a:prstGeom>
                  </pic:spPr>
                </pic:pic>
              </a:graphicData>
            </a:graphic>
          </wp:inline>
        </w:drawing>
      </w:r>
    </w:p>
    <w:p>
      <w:pPr>
        <w:pStyle w:val="Telotextu"/>
        <w:spacing w:before="0" w:after="80"/>
        <w:ind w:left="125" w:right="57" w:hanging="0"/>
        <w:jc w:val="both"/>
        <w:rPr>
          <w:highlight w:val="none"/>
          <w:shd w:fill="auto" w:val="clear"/>
        </w:rPr>
      </w:pPr>
      <w:r>
        <w:rPr>
          <w:color w:val="5E5E5E"/>
          <w:spacing w:val="-3"/>
          <w:shd w:fill="auto" w:val="clear"/>
          <w:lang w:val="sk-SK"/>
        </w:rPr>
        <w:t xml:space="preserve">Warnwort: </w:t>
      </w:r>
      <w:r>
        <w:rPr>
          <w:b/>
          <w:bCs/>
          <w:color w:val="5E5E5E"/>
          <w:spacing w:val="-3"/>
          <w:shd w:fill="auto" w:val="clear"/>
          <w:lang w:val="sk-SK"/>
        </w:rPr>
        <w:t>Gefahr</w:t>
      </w:r>
    </w:p>
    <w:p>
      <w:pPr>
        <w:pStyle w:val="Telotextu"/>
        <w:spacing w:before="0" w:after="80"/>
        <w:ind w:left="125" w:right="57" w:hanging="0"/>
        <w:jc w:val="both"/>
        <w:rPr>
          <w:highlight w:val="none"/>
          <w:shd w:fill="auto" w:val="clear"/>
        </w:rPr>
      </w:pPr>
      <w:r>
        <w:rPr>
          <w:color w:val="5E5E5E"/>
          <w:spacing w:val="-3"/>
          <w:shd w:fill="auto" w:val="clear"/>
        </w:rPr>
        <w:t xml:space="preserve">H315 </w:t>
        <w:tab/>
        <w:t>Reizt die Haut.</w:t>
      </w:r>
    </w:p>
    <w:p>
      <w:pPr>
        <w:pStyle w:val="Telotextu"/>
        <w:spacing w:before="0" w:after="80"/>
        <w:ind w:left="125" w:right="57" w:hanging="0"/>
        <w:jc w:val="both"/>
        <w:rPr>
          <w:highlight w:val="none"/>
          <w:shd w:fill="auto" w:val="clear"/>
        </w:rPr>
      </w:pPr>
      <w:r>
        <w:rPr>
          <w:color w:val="5E5E5E"/>
          <w:spacing w:val="-3"/>
          <w:shd w:fill="auto" w:val="clear"/>
        </w:rPr>
        <w:t xml:space="preserve">H318 </w:t>
        <w:tab/>
        <w:t>Verursacht schwere Augenschäden.</w:t>
      </w:r>
    </w:p>
    <w:p>
      <w:pPr>
        <w:pStyle w:val="Telotextu"/>
        <w:spacing w:before="0" w:after="80"/>
        <w:ind w:left="125" w:right="57" w:hanging="0"/>
        <w:jc w:val="both"/>
        <w:rPr>
          <w:highlight w:val="none"/>
          <w:shd w:fill="auto" w:val="clear"/>
        </w:rPr>
      </w:pPr>
      <w:r>
        <w:rPr>
          <w:color w:val="5E5E5E"/>
          <w:spacing w:val="-3"/>
          <w:shd w:fill="auto" w:val="clear"/>
        </w:rPr>
        <w:t xml:space="preserve">H335 </w:t>
        <w:tab/>
        <w:t>Kann die Atemwege reizen.</w:t>
      </w:r>
    </w:p>
    <w:p>
      <w:pPr>
        <w:pStyle w:val="Telotextu"/>
        <w:spacing w:before="0" w:after="80"/>
        <w:ind w:left="125" w:right="57" w:hanging="0"/>
        <w:jc w:val="both"/>
        <w:rPr>
          <w:highlight w:val="none"/>
          <w:shd w:fill="auto" w:val="clear"/>
        </w:rPr>
      </w:pPr>
      <w:r>
        <w:rPr>
          <w:color w:val="5E5E5E"/>
          <w:shd w:fill="auto" w:val="clear"/>
        </w:rPr>
        <w:t xml:space="preserve">P101 </w:t>
        <w:tab/>
        <w:t>Wenn ärztliche Hilfe erforderlich ist, Behälter oder Herstelleretikett bereithalten.</w:t>
      </w:r>
    </w:p>
    <w:p>
      <w:pPr>
        <w:pStyle w:val="Telotextu"/>
        <w:spacing w:before="0" w:after="80"/>
        <w:ind w:left="125" w:right="57" w:hanging="0"/>
        <w:jc w:val="both"/>
        <w:rPr>
          <w:highlight w:val="none"/>
          <w:shd w:fill="auto" w:val="clear"/>
        </w:rPr>
      </w:pPr>
      <w:r>
        <w:rPr>
          <w:color w:val="5E5E5E"/>
          <w:shd w:fill="auto" w:val="clear"/>
        </w:rPr>
        <w:t xml:space="preserve">P102 </w:t>
        <w:tab/>
        <w:t>Darf nicht in die Hände von Kindern gelangen.</w:t>
      </w:r>
    </w:p>
    <w:p>
      <w:pPr>
        <w:pStyle w:val="Telotextu"/>
        <w:spacing w:before="0" w:after="80"/>
        <w:ind w:left="125" w:right="57" w:hanging="0"/>
        <w:jc w:val="both"/>
        <w:rPr>
          <w:highlight w:val="none"/>
          <w:shd w:fill="auto" w:val="clear"/>
        </w:rPr>
      </w:pPr>
      <w:r>
        <w:rPr>
          <w:color w:val="5E5E5E"/>
          <w:shd w:fill="auto" w:val="clear"/>
        </w:rPr>
        <w:t xml:space="preserve">P261 </w:t>
        <w:tab/>
        <w:t>Einatmen von Staub vermeiden.</w:t>
      </w:r>
    </w:p>
    <w:p>
      <w:pPr>
        <w:pStyle w:val="Telotextu"/>
        <w:spacing w:before="0" w:after="80"/>
        <w:ind w:left="125" w:right="57" w:hanging="0"/>
        <w:jc w:val="both"/>
        <w:rPr>
          <w:highlight w:val="none"/>
          <w:shd w:fill="auto" w:val="clear"/>
        </w:rPr>
      </w:pPr>
      <w:r>
        <w:rPr>
          <w:color w:val="5E5E5E"/>
          <w:shd w:fill="auto" w:val="clear"/>
        </w:rPr>
        <w:t xml:space="preserve">P280 </w:t>
        <w:tab/>
        <w:t>Schutzhandschuhe/Schutzkleidung/Schutzbrille/Gesichtsschutz verwenden.</w:t>
      </w:r>
    </w:p>
    <w:p>
      <w:pPr>
        <w:pStyle w:val="Telotextu"/>
        <w:spacing w:before="0" w:after="80"/>
        <w:ind w:left="125" w:right="57" w:hanging="0"/>
        <w:jc w:val="both"/>
        <w:rPr>
          <w:highlight w:val="none"/>
          <w:shd w:fill="auto" w:val="clear"/>
        </w:rPr>
      </w:pPr>
      <w:r>
        <w:rPr>
          <w:color w:val="5E5E5E"/>
          <w:shd w:fill="auto" w:val="clear"/>
        </w:rPr>
        <w:t xml:space="preserve">P305+P351+P338: </w:t>
        <w:tab/>
        <w:t>BEI KONTAKT MIT DEN AUGEN: Einige Minuten lang vorsichtig mit Wasser spülen. Nehmen Sie, falls getragen, Kontaktlinsen ab und entfernen Sie diese wenn möglich. Spülen Sie weiter.</w:t>
      </w:r>
    </w:p>
    <w:p>
      <w:pPr>
        <w:pStyle w:val="Telotextu"/>
        <w:spacing w:before="0" w:after="80"/>
        <w:ind w:left="125" w:right="57" w:hanging="0"/>
        <w:jc w:val="both"/>
        <w:rPr>
          <w:highlight w:val="none"/>
          <w:shd w:fill="auto" w:val="clear"/>
        </w:rPr>
      </w:pPr>
      <w:r>
        <w:rPr>
          <w:color w:val="5E5E5E"/>
          <w:shd w:fill="auto" w:val="clear"/>
        </w:rPr>
        <w:t xml:space="preserve">P310: </w:t>
        <w:tab/>
        <w:t>Sofort GIFTINFORMATIONSZENTRUM oder Arzt anrufen.</w:t>
      </w:r>
    </w:p>
    <w:p>
      <w:pPr>
        <w:pStyle w:val="Telotextu"/>
        <w:spacing w:before="0" w:after="80"/>
        <w:ind w:left="125" w:right="57" w:hanging="0"/>
        <w:jc w:val="both"/>
        <w:rPr>
          <w:highlight w:val="none"/>
          <w:shd w:fill="auto" w:val="clear"/>
        </w:rPr>
      </w:pPr>
      <w:r>
        <w:rPr>
          <w:color w:val="5E5E5E"/>
          <w:shd w:fill="auto" w:val="clear"/>
        </w:rPr>
        <w:t xml:space="preserve">P302+P352: </w:t>
        <w:tab/>
        <w:t>BEI BERÜHRUNG MIT DER HAUT: Mit viel Wasser und Seife waschen. Bei Hautreizungen oder Hautausschlag</w:t>
      </w:r>
    </w:p>
    <w:p>
      <w:pPr>
        <w:pStyle w:val="Telotextu"/>
        <w:spacing w:before="0" w:after="80"/>
        <w:ind w:left="125" w:right="57" w:hanging="0"/>
        <w:jc w:val="both"/>
        <w:rPr>
          <w:highlight w:val="none"/>
          <w:shd w:fill="auto" w:val="clear"/>
        </w:rPr>
      </w:pPr>
      <w:r>
        <w:rPr>
          <w:color w:val="5E5E5E"/>
          <w:shd w:fill="auto" w:val="clear"/>
        </w:rPr>
        <w:t xml:space="preserve">P333+P313: </w:t>
        <w:tab/>
        <w:t>Ärztlichen Rat einholen.</w:t>
      </w:r>
    </w:p>
    <w:p>
      <w:pPr>
        <w:pStyle w:val="Telotextu"/>
        <w:spacing w:before="0" w:after="80"/>
        <w:ind w:left="125" w:right="57" w:hanging="0"/>
        <w:jc w:val="both"/>
        <w:rPr>
          <w:highlight w:val="none"/>
          <w:shd w:fill="auto" w:val="clear"/>
        </w:rPr>
      </w:pPr>
      <w:r>
        <w:rPr>
          <w:color w:val="5E5E5E"/>
          <w:shd w:fill="auto" w:val="clear"/>
        </w:rPr>
        <w:t xml:space="preserve">P304+P340: </w:t>
        <w:tab/>
        <w:t>BEI EINATMEN: Die Person an die frische Luft bringen und in einer Position halten, die das Atmen erleichtert.</w:t>
      </w:r>
    </w:p>
    <w:p>
      <w:pPr>
        <w:pStyle w:val="Telotextu"/>
        <w:spacing w:before="0" w:after="80"/>
        <w:ind w:left="125" w:right="57" w:hanging="0"/>
        <w:jc w:val="both"/>
        <w:rPr>
          <w:highlight w:val="none"/>
          <w:shd w:fill="auto" w:val="clear"/>
        </w:rPr>
      </w:pPr>
      <w:r>
        <w:rPr>
          <w:color w:val="5E5E5E"/>
          <w:shd w:fill="auto" w:val="clear"/>
        </w:rPr>
        <w:t>P312</w:t>
        <w:tab/>
        <w:t>Bei Unwohlsein GIFTINFORMATIONSZENTRUM oder Arzt anrufen.</w:t>
      </w:r>
    </w:p>
    <w:p>
      <w:pPr>
        <w:pStyle w:val="Telotextu"/>
        <w:spacing w:before="0" w:after="80"/>
        <w:ind w:left="125" w:right="57" w:hanging="0"/>
        <w:jc w:val="both"/>
        <w:rPr/>
      </w:pPr>
      <w:r>
        <w:rPr>
          <w:color w:val="5E5E5E"/>
          <w:spacing w:val="-3"/>
          <w:sz w:val="16"/>
          <w:shd w:fill="auto" w:val="clear"/>
          <w:lang w:val="sk-SK" w:eastAsia="en-US" w:bidi="ar-SA"/>
        </w:rPr>
        <w:t xml:space="preserve">P501 </w:t>
        <w:tab/>
        <w:t>Inhalt/Verpackung an einer entsprechend den örtlichen Vorschriften vorgesehenen Sammelstelle entsorgen.</w:t>
      </w:r>
    </w:p>
    <w:p>
      <w:pPr>
        <w:pStyle w:val="Telotextu"/>
        <w:spacing w:before="0" w:after="80"/>
        <w:ind w:left="125" w:right="57" w:hanging="0"/>
        <w:jc w:val="both"/>
        <w:rPr>
          <w:color w:val="5E5E5E"/>
          <w:spacing w:val="-3"/>
          <w:sz w:val="16"/>
          <w:highlight w:val="none"/>
          <w:shd w:fill="auto" w:val="clear"/>
          <w:lang w:val="sk-SK" w:eastAsia="en-US" w:bidi="ar-SA"/>
        </w:rPr>
      </w:pPr>
      <w:r>
        <w:rPr>
          <w:color w:val="5E5E5E"/>
          <w:spacing w:val="-3"/>
          <w:sz w:val="16"/>
          <w:shd w:fill="auto" w:val="clear"/>
          <w:lang w:val="sk-SK" w:eastAsia="en-US" w:bidi="ar-SA"/>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Lagerung</w:t>
      </w:r>
    </w:p>
    <w:p>
      <w:pPr>
        <w:pStyle w:val="Telotextu"/>
        <w:spacing w:before="0" w:after="80"/>
        <w:ind w:left="0" w:right="57" w:hanging="0"/>
        <w:jc w:val="both"/>
        <w:rPr>
          <w:lang w:val="sk-SK" w:eastAsia="en-US" w:bidi="ar-SA"/>
        </w:rPr>
      </w:pPr>
      <w:r>
        <w:rPr>
          <w:color w:val="5E5E5E"/>
          <w:spacing w:val="-1"/>
          <w:sz w:val="16"/>
          <w:lang w:val="sk-SK" w:eastAsia="en-US" w:bidi="ar-SA"/>
        </w:rPr>
        <w:t xml:space="preserve">Lagern Sie das Produkt an einem trockenen Ort in der Originalverpackung – schützen Sie es vor Beschädigung, Wassereinwirkung und hoher relativer Luftfeuchtigkeit. Bei Einhaltung der angegebenen Bedingungen beträgt die Haltbarkeitsdauer </w:t>
      </w:r>
      <w:r>
        <w:rPr>
          <w:color w:val="5E5E5E"/>
          <w:spacing w:val="-1"/>
          <w:sz w:val="16"/>
          <w:lang w:val="sk-SK" w:eastAsia="en-US" w:bidi="ar-SA"/>
        </w:rPr>
        <w:t>12</w:t>
      </w:r>
      <w:r>
        <w:rPr>
          <w:color w:val="5E5E5E"/>
          <w:spacing w:val="-1"/>
          <w:sz w:val="16"/>
          <w:lang w:val="sk-SK" w:eastAsia="en-US" w:bidi="ar-SA"/>
        </w:rPr>
        <w:t xml:space="preserve"> Monate ab dem auf der Verpackung angegebenen Datum.</w:t>
      </w:r>
      <w:r>
        <w:rPr>
          <w:b/>
          <w:color w:val="FFFFFF" w:themeColor="background1"/>
          <w:sz w:val="18"/>
          <w:szCs w:val="18"/>
          <w:lang w:val="sk-SK" w:eastAsia="en-US" w:bidi="ar-SA"/>
        </w:rPr>
        <w:t xml:space="preserve"> </w:t>
      </w:r>
    </w:p>
    <w:p>
      <w:pPr>
        <w:pStyle w:val="Telotextu"/>
        <w:spacing w:before="0" w:after="80"/>
        <w:ind w:left="0" w:right="57" w:hanging="0"/>
        <w:jc w:val="both"/>
        <w:rPr>
          <w:lang w:val="sk-SK" w:eastAsia="en-US" w:bidi="ar-SA"/>
        </w:rPr>
      </w:pPr>
      <w:r>
        <w:rPr>
          <w:color w:val="5E5E5E"/>
          <w:spacing w:val="-1"/>
          <w:sz w:val="16"/>
          <w:lang w:val="sk-SK" w:eastAsia="en-US" w:bidi="ar-SA"/>
        </w:rPr>
        <w:t>Die Trockenmischung wird in Papiersäcken auf mit Folie abgedeckten Paletten angeliefert.</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Gemacht</w:t>
      </w:r>
    </w:p>
    <w:p>
      <w:pPr>
        <w:pStyle w:val="Telotextu"/>
        <w:spacing w:lineRule="exact" w:line="183" w:before="0" w:after="80"/>
        <w:ind w:left="0" w:right="57" w:hanging="0"/>
        <w:jc w:val="both"/>
        <w:rPr>
          <w:lang w:val="sk-SK" w:eastAsia="en-US" w:bidi="ar-SA"/>
        </w:rPr>
      </w:pPr>
      <w:r>
        <w:rPr>
          <w:color w:val="5E5E5E"/>
          <w:spacing w:val="-1"/>
          <w:lang w:val="sk-SK" w:eastAsia="en-US" w:bidi="ar-SA"/>
        </w:rPr>
        <w:t>in der EU für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Gültigkeit</w:t>
      </w:r>
    </w:p>
    <w:p>
      <w:pPr>
        <w:pStyle w:val="Telotextu"/>
        <w:spacing w:before="0" w:after="80"/>
        <w:ind w:left="0" w:right="57" w:hanging="0"/>
        <w:rPr>
          <w:lang w:val="sk-SK" w:eastAsia="en-US" w:bidi="ar-SA"/>
        </w:rPr>
      </w:pPr>
      <w:r>
        <w:rPr>
          <w:color w:val="5E5E5E"/>
          <w:lang w:val="sk-SK" w:eastAsia="en-US" w:bidi="ar-SA"/>
        </w:rPr>
        <w:t>Ab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Da die Verwendung und Verarbeitung des Produkts nicht unserem direkten Einfluss unterliegt, haften wir nicht für Schäden, die durch unsachgemäßen Gebrauch entstehen. Wir behalten uns das Recht vor, Änderungen aufgrund des technischen Fortschritts vorzunehmen.</w:t>
      </w:r>
    </w:p>
    <w:p>
      <w:pPr>
        <w:pStyle w:val="Telotextu"/>
        <w:spacing w:before="0" w:after="80"/>
        <w:ind w:left="0" w:right="57" w:hanging="0"/>
        <w:rPr>
          <w:color w:val="5E5E5E"/>
        </w:rPr>
      </w:pPr>
      <w:r>
        <w:rPr>
          <w:color w:val="5E5E5E"/>
        </w:rPr>
      </w:r>
    </w:p>
    <w:p>
      <w:pPr>
        <w:pStyle w:val="Telotextu"/>
        <w:spacing w:before="0" w:after="192"/>
        <w:ind w:left="0" w:right="57" w:hanging="0"/>
        <w:jc w:val="both"/>
        <w:rPr>
          <w:lang w:val="sk-SK" w:eastAsia="en-US" w:bidi="ar-SA"/>
        </w:rPr>
      </w:pPr>
      <w:r>
        <w:rPr>
          <w:lang w:val="sk-SK" w:eastAsia="en-US" w:bidi="ar-SA"/>
        </w:rPr>
      </w:r>
    </w:p>
    <w:p>
      <w:pPr>
        <w:sectPr>
          <w:headerReference w:type="default" r:id="rId4"/>
          <w:footerReference w:type="default" r:id="rId5"/>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Technisches Arbeitsblatt: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de-DE"/>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de-D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LibreOffice/7.3.7.2$Linux_X86_64 LibreOffice_project/30$Build-2</Application>
  <AppVersion>15.0000</AppVersion>
  <Pages>2</Pages>
  <Words>1133</Words>
  <Characters>7324</Characters>
  <CharactersWithSpaces>8366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2025-06-13T11:21:51Z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