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Vlastnosti a způsob použití</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omítání všech druhů zdicích materiálů, především cihlových podkladů, pórobetonu a betonových tvarovek</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při renovaci a dodatečném zateplení lze aplikovat přímo na hrubozrnné omítky typu brizolit</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omezení úniku tepla z objektu vlivem tepelného odporu konstrukce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omezení úniku tepla z objektu vlivem tepelných mostů ve stěnách</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nebrání odvedení vlhkosti ze zdiva vlivem faktoru difúzního odporu vodní páry</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strojní i ruční omítání ve vnějším i vnitřním prostředí</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Složení</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Portlandský cement, minerální plniva, lehčená plniva, chemické přísady.</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Technické parametry</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Tepelněizolační omítka pro vnější omítku (T) dle EN 998-1: 2003, kategorie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nanášena ručně</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Pevnost v tlaku (kategorie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Objemová hmotnost zatvrdlé malty</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Přídržnost - způsob odtrhu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Součinitel tepelné vodivosti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Faktor difúzního odporu vodní páry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Doba zpracovatelnosti</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Reakce na oheň</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Informativní</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nanášena ručně</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Zrnitost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Množství záměsové vody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Vydatnost při vrstvě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Doporučená maximální tloušťka nanášení jedné vrstvy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Maximální tloušťka omítky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Podle statického posouzení</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Minimální teplota podkladu a vzduchu a omítky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Tepelněizolační omítka pro vnější omítku (T) dle EN 998-1: 2003, kategorie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nanášena strojově</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Pevnost v tlaku (kategorie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Objemová hmotnost zatvrdlé malty</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Přídržnost - způsob odtrhu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Součinitel tepelné vodivosti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Faktor difúzního odporu vodní páry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Doba zpracovatelnosti</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Reakce na oheň</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Informativní</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nanášena strojně</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Zrnitost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Množství záměsové vody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Podle typu omítacího stroje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Vydatnost při vrstvě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Maximální tloušťka nanášení jedné vrstvy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Maximální tloušťka omítky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Podle statického posouzení</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Minimální teplota podkladu a vzduchu a omítky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POZN.: Technické parametry jsou stanoveny za normálních podmínek (20 ± 2) °C a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Příprava podkladu</w:t>
      </w:r>
    </w:p>
    <w:p>
      <w:pPr>
        <w:pStyle w:val="Telotextu"/>
        <w:spacing w:before="0" w:after="0"/>
        <w:ind w:left="0" w:right="57" w:hanging="0"/>
        <w:jc w:val="both"/>
        <w:rPr>
          <w:lang w:val="sk-SK" w:eastAsia="en-US" w:bidi="ar-SA"/>
        </w:rPr>
      </w:pPr>
      <w:r>
        <w:rPr>
          <w:color w:val="666666"/>
          <w:sz w:val="16"/>
          <w:szCs w:val="16"/>
          <w:lang w:val="sk-SK" w:eastAsia="en-US" w:bidi="ar-SA"/>
        </w:rPr>
        <w:t xml:space="preserve">Podklad musí být pevný a nosný, zbavený prachu, zbytků malby, vápna a tuků. Nesmí být voděodpudivý. odstranění takových to vrstev jsou vhodné drásací stroje s příslušnými aplikačními kotouči. narušených, drobivých podkladových vrstev je nutné aplikovat zpevňující vápenocementovou, případně cementovou zpevňující vrstvu a penetrační nátěr Zdivo musí být dostatečně vyzrálé, bez objemových změn Savé </w:t>
      </w:r>
      <w:r>
        <w:rPr>
          <w:b/>
          <w:color w:val="666666"/>
          <w:sz w:val="16"/>
          <w:szCs w:val="16"/>
          <w:lang w:val="sk-SK" w:eastAsia="en-US" w:bidi="ar-SA"/>
        </w:rPr>
        <w:t xml:space="preserve">podklady je nutno před aplikací napenetrovat - FixPlus </w:t>
      </w:r>
      <w:r>
        <w:rPr>
          <w:color w:val="666666"/>
          <w:sz w:val="16"/>
          <w:szCs w:val="16"/>
          <w:lang w:val="sk-SK" w:eastAsia="en-US" w:bidi="ar-SA"/>
        </w:rPr>
        <w:t>mezi omítkové lišty.</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Zpracování</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Ruční nanášení </w:t>
      </w:r>
      <w:r>
        <w:rPr>
          <w:color w:val="5E5E5E"/>
          <w:sz w:val="16"/>
          <w:szCs w:val="16"/>
          <w:lang w:val="sk-SK" w:eastAsia="en-US" w:bidi="ar-SA"/>
        </w:rPr>
        <w:t>- Omítka se rozmíchá v předepsaném množství záměsové vody pomocí ručního míchadla po dobu minimálně 4 minuty, do stavu homogenní konzistence, bez hrudek Maltovou směs nechat stát po dobu 5 minut, a poté znovu důkladně promíchat.</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DŮLEŽITÉ! </w:t>
      </w:r>
      <w:r>
        <w:rPr>
          <w:color w:val="5E5E5E"/>
          <w:sz w:val="16"/>
          <w:lang w:val="sk-SK" w:eastAsia="en-US" w:bidi="ar-SA"/>
        </w:rPr>
        <w:t>Pro zajištění homogenní konzistence malty během aplikace je nutno používat celý obsah pytle. Je doporučeno při aplikaci omítky na větší plochu vždy rozmíchat ve vhodné nádobě minimálně 3 pytle omítky, kterou začneme aplikovat na zeď. V okamžiku, kdy v nádobě zůstává cca poslední třetina malty, opět vmícháme další dvě pytle omítky as vodou rozmícháme směs opět na homogenní konzistenci. Není přípustné částečné používání obsahu pytle. Ukazatelem řádně připravené malty je její jednotná hustota bez hrudek a její schopnost udržet se na obráceném kovovém hladítku nebo lžíci.</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V průběhu aplikace upravíme omítku plastovým hladítkem. Omítka IsoTex R70 má efekt "beránek" se zrnem tloušťkou do 2mm. Za 48 hodin se doporučuje aplikovat penetraci pod nátěr FixPlus a následně aplikovat nátěr ThermoShield®.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Strojní nanášení </w:t>
      </w:r>
      <w:r>
        <w:rPr>
          <w:color w:val="5E5E5E"/>
          <w:sz w:val="16"/>
          <w:lang w:val="sk-SK" w:eastAsia="en-US" w:bidi="ar-SA"/>
        </w:rPr>
        <w:t>- Pro nanášení tepelněizolačních omítek při použití omítacích strojů s integrovanou mísící zónou platí následující nastavení:</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Tryska: čj.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Výška vodního sloupce: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UPOZORNĚNÍ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Pro navrhování, přípravu a realizaci vnějších omítek platí EN 13914-1</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Dodatečné přidávání pojiv, plniva a jiných přísad nebo prosévání směsí je nepřípustné.</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Směs lze zpracovávat pouze </w:t>
      </w:r>
      <w:r>
        <w:rPr>
          <w:b/>
          <w:bCs/>
          <w:color w:val="C9211E"/>
          <w:sz w:val="16"/>
          <w:lang w:val="sk-SK" w:eastAsia="en-US" w:bidi="ar-SA"/>
        </w:rPr>
        <w:t xml:space="preserve">při teplotě vzduchu a podkladu od +8°C do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Při očekávaných mrazech nepoužívat!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K rozmíchání směsi je nutno použít pitnou vodu nebo vodu odpovídající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Likvidace výrobku: Použité obaly uložte na povolenou skládku odpadů. Nespotřebovaný materiál nechte vytvrdnout a uložte na skládku komunálního odpadu. Vlastní přípravek - kód odpadu 101311 Odpady z jiných směsných materiálů neuvedených pod čísly 101309 a 101310. Vytvrzená hmota - kód odpadu 170904 Směsné stavební a demoliční odpady neuvedené pod čísly 170901, 170990</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První pomoc</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Projeví-li se zdravotní problémy nebo v případě pochybností uvědomte lékaře.</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Při nadýchání přemístěte postiženého na čerstvý vzduch, při dechových obtížích přivolat lékařskou pomoc.</w:t>
      </w:r>
    </w:p>
    <w:p>
      <w:pPr>
        <w:pStyle w:val="Telotextu"/>
        <w:spacing w:before="0" w:after="192"/>
        <w:ind w:left="0" w:right="57" w:hanging="0"/>
        <w:jc w:val="both"/>
        <w:rPr>
          <w:lang w:val="sk-SK" w:eastAsia="en-US" w:bidi="ar-SA"/>
        </w:rPr>
      </w:pPr>
      <w:r>
        <w:rPr>
          <w:color w:val="5E5E5E"/>
          <w:lang w:val="sk-SK" w:eastAsia="en-US" w:bidi="ar-SA"/>
        </w:rPr>
        <w:t>Při styku s pokožkou omyjte pokožku čistou vodou a mýdlem. Podrážděná místa ošetřete reparačním krémem.</w:t>
      </w:r>
    </w:p>
    <w:p>
      <w:pPr>
        <w:sectPr>
          <w:headerReference w:type="default" r:id="rId2"/>
          <w:footerReference w:type="default" r:id="rId3"/>
          <w:type w:val="nextPage"/>
          <w:pgSz w:w="11906" w:h="16838"/>
          <w:pgMar w:left="1021" w:right="1021" w:gutter="0" w:header="709" w:top="1418" w:footer="709" w:bottom="851"/>
          <w:pgNumType w:fmt="decimal"/>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Při zasažení očí, ihned promývejte při rozevřených očních víčkách proudem čisté vody po dobu 15 min. a následně vyhledejte lékařskou pomoc.</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Při požití vypláchněte ústa vodou, vypijte 0,5 litru vody a vyhledat lékařskou pomoc. Nevyvolávejte zvracení.</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Přípravek může vyvolat alergickou reakci při styku s kůží. Pokud příznaky jakéhokoliv zasažení (podráždění) vyvolaného kontaktem s výrobkem nepominou po poskytnutí první pomoci, vyhledejte lékařskou pomoc.</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Skladujte mimo dosah dětí!</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Bezpečnost a hygienické předpisy</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Signální slovo: </w:t>
      </w:r>
      <w:r>
        <w:rPr>
          <w:rFonts w:ascii="Arial Narrow" w:hAnsi="Arial Narrow"/>
          <w:b/>
          <w:bCs/>
          <w:color w:val="5E5E5E"/>
          <w:sz w:val="16"/>
          <w:szCs w:val="16"/>
          <w:shd w:fill="auto" w:val="clear"/>
          <w:lang w:val="sk-SK"/>
        </w:rPr>
        <w:t>Nebezpečí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Dráždí kůži.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Způsobuje vážné poškození očí.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Může způsobit podráždění dýchacích cest.</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Je-li nutná lékařská pomoc, mějte k dispozici obal nebo štítek výrobce.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Uchovávejte mimo dosah dětí.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Zamezte vdechování prachu.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Používejte ochranné rukavice / ochranný oděv / ochranné brýle / obličejový štít.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PŘI ZASAŽENÍ OČÍ: Několik minut je opatrně vyplachujte vodou. Vyjměte kontaktní čočky, jsou-li nasazeny a je-li možné, odstraňte je. Pokračujte ve vyplachování.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Okamžitě volejte TOXIKOLOGICKÉ CENTRUM nebo lékaře.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PŘI KONTAKTU S KŮŽÍ: Umyjte velkým množstvím vody a mýdla. Při podráždění pokožky nebo vyrážce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Vyhledejte lékařskou pomoc / péči.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PŘI VDECHNUTÍ: Přenést osobu na čerstvý vzduch a nechte ji v poloze usnadňující dýchání.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Necítíte-li se dobře, volejte TOXIKOLOGICKÉ STŘEDISKO nebo lékaře.</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Odstraňte obsah / obal na sběrném místě určeném podle místních předpisů.</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Skladování</w:t>
      </w:r>
    </w:p>
    <w:p>
      <w:pPr>
        <w:pStyle w:val="Telotextu"/>
        <w:spacing w:before="0" w:after="80"/>
        <w:ind w:left="0" w:right="57" w:hanging="0"/>
        <w:jc w:val="both"/>
        <w:rPr>
          <w:lang w:val="sk-SK" w:eastAsia="en-US" w:bidi="ar-SA"/>
        </w:rPr>
      </w:pPr>
      <w:r>
        <w:rPr>
          <w:color w:val="5E5E5E"/>
          <w:spacing w:val="-1"/>
          <w:sz w:val="16"/>
          <w:lang w:val="sk-SK" w:eastAsia="en-US" w:bidi="ar-SA"/>
        </w:rPr>
        <w:t xml:space="preserve">Výrobek skladujte v suchu v originálních obalech - chraňte před poškozením, působením vody a vysoké relativní vlhkosti vzduchu. Při dodržení uvedených podmínek je skladovatelnost </w:t>
      </w:r>
      <w:r>
        <w:rPr>
          <w:color w:val="5E5E5E"/>
          <w:spacing w:val="-1"/>
          <w:sz w:val="16"/>
          <w:lang w:val="sk-SK" w:eastAsia="en-US" w:bidi="ar-SA"/>
        </w:rPr>
        <w:t>12</w:t>
      </w:r>
      <w:r>
        <w:rPr>
          <w:color w:val="5E5E5E"/>
          <w:spacing w:val="-1"/>
          <w:sz w:val="16"/>
          <w:lang w:val="sk-SK" w:eastAsia="en-US" w:bidi="ar-SA"/>
        </w:rPr>
        <w:t xml:space="preserve"> měsíců od data, vyznačeného na obalu.</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Expedice</w:t>
      </w:r>
    </w:p>
    <w:p>
      <w:pPr>
        <w:pStyle w:val="Telotextu"/>
        <w:spacing w:before="0" w:after="80"/>
        <w:ind w:left="0" w:right="57" w:hanging="0"/>
        <w:jc w:val="both"/>
        <w:rPr>
          <w:lang w:val="sk-SK" w:eastAsia="en-US" w:bidi="ar-SA"/>
        </w:rPr>
      </w:pPr>
      <w:r>
        <w:rPr>
          <w:color w:val="5E5E5E"/>
          <w:spacing w:val="-1"/>
          <w:sz w:val="16"/>
          <w:lang w:val="sk-SK" w:eastAsia="en-US" w:bidi="ar-SA"/>
        </w:rPr>
        <w:t>Suchá směs se dodává v papírových pytlích na paletách krytých fólií.</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Vyrobeno</w:t>
      </w:r>
    </w:p>
    <w:p>
      <w:pPr>
        <w:pStyle w:val="Telotextu"/>
        <w:spacing w:lineRule="exact" w:line="183" w:before="0" w:after="80"/>
        <w:ind w:left="0" w:right="57" w:hanging="0"/>
        <w:jc w:val="both"/>
        <w:rPr>
          <w:lang w:val="sk-SK" w:eastAsia="en-US" w:bidi="ar-SA"/>
        </w:rPr>
      </w:pPr>
      <w:r>
        <w:rPr>
          <w:color w:val="5E5E5E"/>
          <w:spacing w:val="-1"/>
          <w:lang w:val="sk-SK" w:eastAsia="en-US" w:bidi="ar-SA"/>
        </w:rPr>
        <w:t>v EU pro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Platnost</w:t>
      </w:r>
    </w:p>
    <w:p>
      <w:pPr>
        <w:pStyle w:val="Telotextu"/>
        <w:spacing w:before="0" w:after="80"/>
        <w:ind w:left="0" w:right="57" w:hanging="0"/>
        <w:rPr>
          <w:lang w:val="sk-SK" w:eastAsia="en-US" w:bidi="ar-SA"/>
        </w:rPr>
      </w:pPr>
      <w:r>
        <w:rPr>
          <w:color w:val="5E5E5E"/>
          <w:lang w:val="sk-SK" w:eastAsia="en-US" w:bidi="ar-SA"/>
        </w:rPr>
        <w:t>Od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Jelikož použití a zpracování výrobku nepodléhá našemu přímému vlivu, neodpovídáme za škody způsobené jeho chybným použitím. Vyhrazujeme si právo provádět změny, které jsou výsledkem technického pokroku.</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Technický dopis:</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cs-CZ"/>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cs-CZ"/>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cs-CZ"/>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1021</Words>
  <Characters>5926</Characters>
  <CharactersWithSpaces>6846</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2025-06-13T11:21:24Z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