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>Ľahká štuková omietka F-50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 sa používa ako dokončovacia vrstva pre interiér a exteriér. Aplikovaná hrúbka vrstvy do 3 mm.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Príprava podkladu: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Štuk aplikujeme na IsoTex R70. Je to finálna povrchová úprava.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>Všeobecné odporúčania pre použitie: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 Práce vykonávajte pri teplote medzi +5°C a +25°C.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>Dôležité!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 V lete nepracujte pri priamom slnečnom svetle. Vyvarujte sa priamemu pôsobeniu dažďa na omietku.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>Poznámka: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 Omietka F-50 obsahuje cement a vápno, ktoré v kombinácii s vodou vyvolávajú alkalickú reakciu, preto pri práci s omietkou je nutné chrániť oči a pokožku. Ak sa omietka dostane do očí, okamžite ich vypláchnite vodou a vyhľadajte lekára.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Príprava omietky: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Nalejte čistú vodu v pomere 4,5 – 5,5 l na 10 kg vrece do guľatej nádrže s plochým dnom. Do vody nasypte omietku F-50.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>Dôležité!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 Na spracovanie vždy použite celé balenie! Čiastočná spotreba obsahu balenia je neprípustná. Dôkladne premiešajte po dobu 4-5 minút, stavebným miešadlom so strednými otáčkami, aby sa získala homogénna konzistencia bez hrudiek. Nechajte odstáť cca 5 minút.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Po 5 minútach omietku dôkladne opäť premiešajte.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Je neprípustné miešanie v spádovej miešačke 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Správne premiešaná malta má homogénnu konzistenciu bez hrudiek a dokonale priľne k nanášanému povrchu.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>Omietka F-50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 je určená na ručné aj strojové spracovanie. Na podklad s rovnomerným povrchom steny nanášajte omietku v hrúbke max 3 mm. Pri ručnom spracovaní naneste omietku na stenu nerezovou stierkou. Po nanesení vrstvy vyrovnajte omietku stierkou a cca 20-30 minút po nanesení omietku zarovnajte kruhovými pohybmi plastovou stierkou a vytvorte homogénnu povrchovú štruktúru. Podklad omietky je nutné zvlhčiť, alebo opatriť penetračným náterom FixPlus Omietku je nutné opatriť náterom ClimateCoating.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Záruka: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Výrobca zaručuje zhodu omietky F-50 s technickými parametrami uvedenými v tomto TL za predpokladu, že sú dodržané zásady prepravy, skladovania, prípravy a aplikácie omietky. Výrobca nezodpovedá za nesprávne použitie malty a za jej použitie na účely a podmienky neuvedené v technickom popise.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Zaručená skladovateľnosť v originálnom balení, na paletách av suchej miestnosti - 12 mesiacov od dátumu výroby na obale.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Technické parametre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Dávkovanie vody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Objemová hmotnosť čerstvej malty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>≤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1.050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Objemová hmotnosť zatvrdnutej malty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Pevnosť v ťahu za ohybu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Pevnosť v tlaku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Prídržnosť na betóne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Klasifikácia reakcie na oheň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Trvanlivosť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cyklov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Spotreba kg/m2/1 mm (kg)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UPOZORNENIE: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Na navrhovanie, prípravu a vykonávanie vonkajších omietok platí EN 13914-1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Dodatočné pridávanie spojív, plnivá a iných prísad alebo preosievanie zmesí je neprípustné.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Zmes je možné spracovávať iba pri teplote vzduchu a podkladu na + 5 °C!!! Pri očakávaných mrazoch nepoužívať!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Na rozmiešanie zmesi je nutné použiť pitnú vodu alebo vodu zodpovedajúcu EN1008.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Likvidácia výrobku: Použité obaly uložte na povolenú skládku odpadov. Nespotrebovaný materiál nechajte vytvrdnúť a uložte na skládku komunálneho odpadu. Vlastný prípravok – kód odpadu 101311 Odpady z iných zmesných materiálov neuvedených pod číslami 101309 a 101310. Vytvrdená hmota – kód odpadu 170904 Zmiešané stavebné a demolačné odpady neuvedené pod číslami 170901, 17090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Prvá pomoc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Ak sa prejavia zdravotné problémy alebo v prípade pochybností upovedomte lekára.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Pri nadýchaní premiestnite postihnutého na čerstvý vzduch, pri dychových problémoch privolať lekársku pomoc.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Pri styku s pokožkou umyte pokožku čistou vodou a mydlom. Podráždené miesta ošetrite reparačným krémom.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Pri zasiahnutí očí, ihneď premývajte pri otvorených očných viečkach prúdom čistej vody po dobu 15 min. a následne vyhľadajte lekársku pomoc.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Pri požití vypláchnite ústa vodou, vypite 0,5 litra vody a vyhľadajte lekársku pomoc. Nevyvolávajte zvracanie.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Prípravok môže vyvolať alergickú reakciu pri styku s pokožkou. Pokiaľ príznaky akéhokoľvek zasiahnutia (podráždenia) vyvolaného kontaktom s výrobkom neodznejú po poskytnutí prvej pomoci, vyhľadajte lekársku pomoc.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Skladujte mimo dosahu detí!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Bezpečnost a hygienické predpisy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 xml:space="preserve">Signálne slovo: </w:t>
      </w:r>
      <w:r>
        <w:rPr>
          <w:rFonts w:ascii="Arial Narrow" w:hAnsi="Arial Narrow"/>
          <w:b/>
          <w:bCs/>
          <w:color w:val="000000"/>
          <w:sz w:val="16"/>
          <w:szCs w:val="16"/>
          <w:shd w:fill="auto" w:val="clear"/>
          <w:lang w:val="sk-SK"/>
        </w:rPr>
        <w:t>Nebezpečenstvo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H315</w:t>
        <w:tab/>
        <w:t>Dráždi kožu.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H318</w:t>
        <w:tab/>
        <w:t>Spôsobuje vážne poškodenie očí.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H335</w:t>
        <w:tab/>
        <w:t>Môže spôsobiť podráždenie dýchacích ciest.</w:t>
      </w:r>
    </w:p>
    <w:p>
      <w:pPr>
        <w:pStyle w:val="Telotextu"/>
        <w:spacing w:before="0" w:after="80"/>
        <w:ind w:left="6" w:right="57" w:hanging="6"/>
        <w:jc w:val="both"/>
        <w:rPr>
          <w:color w:val="auto"/>
          <w:spacing w:val="-3"/>
          <w:sz w:val="12"/>
          <w:szCs w:val="12"/>
          <w:highlight w:val="none"/>
          <w:shd w:fill="auto" w:val="clear"/>
          <w:lang w:val="sk-SK"/>
        </w:rPr>
      </w:pPr>
      <w:r>
        <w:rPr>
          <w:color w:val="000000"/>
          <w:spacing w:val="-3"/>
          <w:sz w:val="12"/>
          <w:szCs w:val="12"/>
          <w:shd w:fill="auto" w:val="clear"/>
          <w:lang w:val="sk-SK"/>
        </w:rPr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P101</w:t>
        <w:tab/>
        <w:t>Ak je potrebná lekárska pomoc, majte k dispozícii obal alebo štítok výrobcu.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P102</w:t>
        <w:tab/>
        <w:t>Uchovávajte mimo dosahu detí.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P261</w:t>
        <w:tab/>
        <w:t>Zabráňte vdychovaniu prachu.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P280</w:t>
        <w:tab/>
        <w:t>Používajte ochranné rukavice / ochranný odev / ochranné okuliare / tvárový štít.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P305+P351+P338: PO ZASIAHNUTÍ OČÍ: Niekoľko minút ich opatrne vyplachujte vodou. Vyberte kontaktné šošovky, ak sú nasadené a ak je možné, odstráňte ich. Pokračujte vo vyplachovaní.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P310: Okamžite volajte TOXIKOLOGICKÉ CENTRUM alebo lekára.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P302+P352: PRI KONTAKTE S POKOŽKOU: Umyte veľkým množstvom vody a mydla. Pri podráždení pokožky alebo vyrážke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P333+P313: Vyhľadajte lekársku pomoc / starostlivosť.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P304+P340: PO VDÝCHNUTÍ: Preniesť osobu na čerstvý vzduch a nechajte ju v polohe uľahčujúcej dýchanie.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P312 Ak sa necítite dobre, volajte TOXIKOLOGICKÉ CENTRUM alebo lekára.</w:t>
      </w:r>
    </w:p>
    <w:p>
      <w:pPr>
        <w:pStyle w:val="Normal"/>
        <w:spacing w:lineRule="auto" w:line="240" w:before="0" w:after="0"/>
        <w:ind w:left="6" w:right="57" w:hanging="6"/>
        <w:jc w:val="both"/>
        <w:rPr>
          <w:color w:val="auto"/>
        </w:rPr>
      </w:pPr>
      <w:r>
        <w:rPr>
          <w:rFonts w:ascii="Arial Narrow" w:hAnsi="Arial Narrow"/>
          <w:color w:val="000000"/>
          <w:spacing w:val="-3"/>
          <w:sz w:val="16"/>
          <w:szCs w:val="16"/>
          <w:shd w:fill="auto" w:val="clear"/>
          <w:lang w:val="sk-SK" w:eastAsia="en-US" w:bidi="ar-SA"/>
        </w:rPr>
        <w:t>P501 Odstráňte obsah / obal na zbernom mieste určenom podľa miestnych predpisov.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Skladovanie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Výrobok skladujte v suchu v originálnych obaloch – chráňte pred poškodením, pôsobením vody a vysokej relatívnej vlhkosti vzduchu. Pri dodržaní uvedených podmienok je skladovateľnosť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mesiacov od dátumu, vyznačenom na obale.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Expedícia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Suchá zmes sa dodáva v papierových vreciach na paletách krytých fóliou.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Vyrobené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v EÚ pre SICC Coatings GmbH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Platnosť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Od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Keďže použitie a spracovanie výrobku nepodlieha nášmu priamemu vplyvu, nezodpovedáme za škody spôsobené jeho chybným použitím. Vyhradzujeme si právo vykonať zmeny, ktoré sú výsledkom technického pokroku.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continuous"/>
          <w:pgSz w:w="11906" w:h="16838"/>
          <w:pgMar w:left="1021" w:right="1021" w:gutter="0" w:header="1418" w:top="1701" w:footer="851" w:bottom="131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IsoTex F50 | Stand 01.06.2020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cs-CZ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LibreOffice/7.3.7.2$Linux_X86_64 LibreOffice_project/30$Build-2</Application>
  <AppVersion>15.0000</AppVersion>
  <Pages>2</Pages>
  <Words>819</Words>
  <Characters>4938</Characters>
  <CharactersWithSpaces>5695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2025-06-13T11:31:47Z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