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sz w:val="16"/>
          <w:szCs w:val="16"/>
        </w:rPr>
      </w:pPr>
      <w:r>
        <w:rPr>
          <w:rFonts w:ascii="arial narrow" w:hAnsi="arial narrow"/>
          <w:b/>
          <w:bCs/>
          <w:color w:val="auto"/>
          <w:sz w:val="16"/>
          <w:szCs w:val="16"/>
          <w:lang w:val="sk-SK" w:eastAsia="en-US" w:bidi="ar-SA"/>
        </w:rPr>
        <w:t xml:space="preserve">Lichte stucpleister F-50 </w:t>
      </w:r>
      <w:r>
        <w:rPr>
          <w:rFonts w:ascii="arial narrow" w:hAnsi="arial narrow"/>
          <w:color w:val="auto"/>
          <w:sz w:val="16"/>
          <w:szCs w:val="16"/>
          <w:lang w:val="sk-SK" w:eastAsia="en-US" w:bidi="ar-SA"/>
        </w:rPr>
        <w:t>wordt gebruikt als afwerklaag voor binnen en buiten. Aangebrachte laagdikte tot 3 mm.</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Voorbereiding van het substraat:</w:t>
      </w:r>
    </w:p>
    <w:p>
      <w:pPr>
        <w:pStyle w:val="Normal"/>
        <w:rPr>
          <w:rFonts w:ascii="arial narrow" w:hAnsi="arial narrow"/>
          <w:sz w:val="16"/>
          <w:szCs w:val="16"/>
        </w:rPr>
      </w:pPr>
      <w:r>
        <w:rPr>
          <w:rFonts w:ascii="arial narrow" w:hAnsi="arial narrow"/>
          <w:color w:val="auto"/>
          <w:sz w:val="16"/>
          <w:szCs w:val="16"/>
          <w:lang w:val="sk-SK" w:eastAsia="en-US" w:bidi="ar-SA"/>
        </w:rPr>
        <w:t>Stucwerk brengen wij aan op IsoTex R70. Het is de uiteindelijke oppervlakteafwerking.</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Algemene aanbevelingen voor gebruik: </w:t>
      </w:r>
      <w:r>
        <w:rPr>
          <w:rFonts w:ascii="arial narrow" w:hAnsi="arial narrow"/>
          <w:color w:val="auto"/>
          <w:sz w:val="16"/>
          <w:szCs w:val="16"/>
          <w:lang w:val="sk-SK" w:eastAsia="en-US" w:bidi="ar-SA"/>
        </w:rPr>
        <w:t>Werken bij een temperatuur tussen +5°C en +25°C.</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Belangrijk! </w:t>
      </w:r>
      <w:r>
        <w:rPr>
          <w:rFonts w:ascii="arial narrow" w:hAnsi="arial narrow"/>
          <w:color w:val="auto"/>
          <w:sz w:val="16"/>
          <w:szCs w:val="16"/>
          <w:lang w:val="sk-SK" w:eastAsia="en-US" w:bidi="ar-SA"/>
        </w:rPr>
        <w:t>In de zomer niet in direct zonlicht werken. Vermijd directe regen op het pleisterwerk.</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Let op: </w:t>
      </w:r>
      <w:r>
        <w:rPr>
          <w:rFonts w:ascii="arial narrow" w:hAnsi="arial narrow"/>
          <w:color w:val="auto"/>
          <w:sz w:val="16"/>
          <w:szCs w:val="16"/>
          <w:lang w:val="sk-SK" w:eastAsia="en-US" w:bidi="ar-SA"/>
        </w:rPr>
        <w:t>F-50 pleister bevat cement en kalk, die in combinatie met water een alkalische reactie veroorzaken, daarom is het noodzakelijk om de ogen en de huid te beschermen bij het werken met de pleister. Als de pleister in uw ogen terechtkomt, spoel deze dan onmiddellijk uit met water en zoek medische hulp.</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Pleistervoorbereiding:</w:t>
      </w:r>
    </w:p>
    <w:p>
      <w:pPr>
        <w:pStyle w:val="Normal"/>
        <w:rPr>
          <w:rFonts w:ascii="arial narrow" w:hAnsi="arial narrow"/>
          <w:sz w:val="16"/>
          <w:szCs w:val="16"/>
        </w:rPr>
      </w:pPr>
      <w:r>
        <w:rPr>
          <w:rFonts w:ascii="arial narrow" w:hAnsi="arial narrow"/>
          <w:color w:val="auto"/>
          <w:sz w:val="16"/>
          <w:szCs w:val="16"/>
          <w:lang w:val="sk-SK" w:eastAsia="en-US" w:bidi="ar-SA"/>
        </w:rPr>
        <w:t>Giet schoon water met een snelheid van 4,5-5,5 l per zak van 10 kg in een ronde tank met een vlakke bodem. Giet F-50 gips in het water.</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Belangrijk! </w:t>
      </w:r>
      <w:r>
        <w:rPr>
          <w:rFonts w:ascii="arial narrow" w:hAnsi="arial narrow"/>
          <w:color w:val="auto"/>
          <w:sz w:val="16"/>
          <w:szCs w:val="16"/>
          <w:lang w:val="sk-SK" w:eastAsia="en-US" w:bidi="ar-SA"/>
        </w:rPr>
        <w:t>Gebruik bij de verwerking altijd het hele pakket! Gedeeltelijk verbruik van de inhoud van het pakket is niet toegestaan. Meng grondig gedurende 4-5 minuten met een bouwmixer op gemiddelde snelheid, om een homogene consistentie zonder klontjes te verkrijgen. Laat ongeveer 5 minuten staan.</w:t>
      </w:r>
    </w:p>
    <w:p>
      <w:pPr>
        <w:pStyle w:val="Normal"/>
        <w:rPr>
          <w:rFonts w:ascii="arial narrow" w:hAnsi="arial narrow"/>
          <w:sz w:val="16"/>
          <w:szCs w:val="16"/>
        </w:rPr>
      </w:pPr>
      <w:r>
        <w:rPr>
          <w:rFonts w:ascii="arial narrow" w:hAnsi="arial narrow"/>
          <w:color w:val="auto"/>
          <w:sz w:val="16"/>
          <w:szCs w:val="16"/>
          <w:lang w:val="sk-SK" w:eastAsia="en-US" w:bidi="ar-SA"/>
        </w:rPr>
        <w:t>Na 5 minuten de pleister opnieuw grondig mengen.</w:t>
      </w:r>
    </w:p>
    <w:p>
      <w:pPr>
        <w:pStyle w:val="Normal"/>
        <w:rPr>
          <w:rFonts w:ascii="arial narrow" w:hAnsi="arial narrow"/>
          <w:sz w:val="16"/>
          <w:szCs w:val="16"/>
        </w:rPr>
      </w:pPr>
      <w:r>
        <w:rPr>
          <w:rFonts w:ascii="arial narrow" w:hAnsi="arial narrow"/>
          <w:color w:val="auto"/>
          <w:sz w:val="16"/>
          <w:szCs w:val="16"/>
          <w:lang w:val="sk-SK" w:eastAsia="en-US" w:bidi="ar-SA"/>
        </w:rPr>
        <w:t>Mengen in een druppelmenger is niet toegestaan!!!.</w:t>
      </w:r>
    </w:p>
    <w:p>
      <w:pPr>
        <w:pStyle w:val="Normal"/>
        <w:rPr>
          <w:rFonts w:ascii="arial narrow" w:hAnsi="arial narrow"/>
          <w:sz w:val="16"/>
          <w:szCs w:val="16"/>
        </w:rPr>
      </w:pPr>
      <w:r>
        <w:rPr>
          <w:rFonts w:ascii="arial narrow" w:hAnsi="arial narrow"/>
          <w:color w:val="auto"/>
          <w:sz w:val="16"/>
          <w:szCs w:val="16"/>
          <w:lang w:val="sk-SK" w:eastAsia="en-US" w:bidi="ar-SA"/>
        </w:rPr>
        <w:t>Goed gemengde mortel heeft een homogene consistentie zonder klontjes en hecht perfect op de aangebrachte ondergrond.</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Gips F-50 </w:t>
      </w:r>
      <w:r>
        <w:rPr>
          <w:rFonts w:ascii="arial narrow" w:hAnsi="arial narrow"/>
          <w:color w:val="auto"/>
          <w:sz w:val="16"/>
          <w:szCs w:val="16"/>
          <w:lang w:val="sk-SK" w:eastAsia="en-US" w:bidi="ar-SA"/>
        </w:rPr>
        <w:t>is bedoeld voor zowel handmatige als machinale verwerking. Breng pleister aan met een maximale dikte van 3 mm op de ondergrond met een egaal wandoppervlak. Bij handmatige verwerking de pleister met een RVS spaan op de muur aanbrengen. Na het aanbrengen van de laag de pleister egaliseren met een spaan en ongeveer 20-30 minuten na het aanbrengen de pleister met cirkelvormige bewegingen egaliseren met een kunststofspaan om een homogene oppervlaktestructuur te creëren. De ondergrond van de pleister moet worden bevochtigd of behandeld met FixPlus indringcoating. De pleister moet worden voorzien van ClimateCoating.</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Garantie:</w:t>
      </w:r>
    </w:p>
    <w:p>
      <w:pPr>
        <w:pStyle w:val="Normal"/>
        <w:rPr>
          <w:rFonts w:ascii="arial narrow" w:hAnsi="arial narrow"/>
          <w:sz w:val="16"/>
          <w:szCs w:val="16"/>
        </w:rPr>
      </w:pPr>
      <w:r>
        <w:rPr>
          <w:rFonts w:ascii="arial narrow" w:hAnsi="arial narrow"/>
          <w:color w:val="auto"/>
          <w:sz w:val="16"/>
          <w:szCs w:val="16"/>
          <w:lang w:val="sk-SK" w:eastAsia="en-US" w:bidi="ar-SA"/>
        </w:rPr>
        <w:t>De fabrikant garandeert de conformiteit van de F-50-pleister met de technische parameters gespecificeerd in deze TL, op voorwaarde dat de principes van transport, opslag, voorbereiding en toepassing van de pleister in acht worden genomen. De fabrikant is niet verantwoordelijk voor onjuist gebruik van de mortel en voor gebruik ervan voor doeleinden en omstandigheden die niet in de technische beschrijving zijn gespecificeerd.</w:t>
      </w:r>
    </w:p>
    <w:p>
      <w:pPr>
        <w:pStyle w:val="Normal"/>
        <w:rPr>
          <w:rFonts w:ascii="arial narrow" w:hAnsi="arial narrow"/>
          <w:sz w:val="16"/>
          <w:szCs w:val="16"/>
        </w:rPr>
      </w:pPr>
      <w:r>
        <w:rPr>
          <w:rFonts w:ascii="arial narrow" w:hAnsi="arial narrow"/>
          <w:color w:val="auto"/>
          <w:sz w:val="16"/>
          <w:szCs w:val="16"/>
          <w:lang w:val="sk-SK" w:eastAsia="en-US" w:bidi="ar-SA"/>
        </w:rPr>
        <w:t>Gegarandeerde opslag in originele verpakking, op pallets en in een droge ruimte - 12 maanden vanaf de productiedatum op de verpakking.</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technische parameters</w:t>
      </w:r>
    </w:p>
    <w:tbl>
      <w:tblPr>
        <w:tblStyle w:val="Mkatabulky"/>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1687"/>
        <w:gridCol w:w="1412"/>
      </w:tblGrid>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Waterdosering W/F</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0,50-0,55</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Volumegewicht verse mortel (kg/m3)</w:t>
            </w:r>
          </w:p>
        </w:tc>
        <w:tc>
          <w:tcPr>
            <w:tcW w:w="1412" w:type="dxa"/>
            <w:tcBorders/>
            <w:shd w:fill="auto" w:val="clear"/>
          </w:tcPr>
          <w:p>
            <w:pPr>
              <w:pStyle w:val="Normal"/>
              <w:widowControl w:val="false"/>
              <w:spacing w:before="0" w:after="160"/>
              <w:rPr>
                <w:rFonts w:ascii="arial narrow" w:hAnsi="arial narrow"/>
                <w:sz w:val="16"/>
                <w:szCs w:val="16"/>
              </w:rPr>
            </w:pPr>
            <w:r>
              <w:rPr>
                <w:rFonts w:cs="Calibri" w:ascii="arial narrow" w:hAnsi="arial narrow" w:cstheme="minorHAnsi"/>
                <w:color w:val="auto"/>
                <w:sz w:val="16"/>
                <w:szCs w:val="16"/>
                <w:lang w:val="sk-SK" w:eastAsia="en-US" w:bidi="ar-SA"/>
              </w:rPr>
              <w:t xml:space="preserve">≤ </w:t>
            </w:r>
            <w:r>
              <w:rPr>
                <w:rFonts w:ascii="arial narrow" w:hAnsi="arial narrow"/>
                <w:color w:val="auto"/>
                <w:sz w:val="16"/>
                <w:szCs w:val="16"/>
                <w:lang w:val="sk-SK" w:eastAsia="en-US" w:bidi="ar-SA"/>
              </w:rPr>
              <w:t>1.050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Volumegewicht uitgeharde mortel (kg/m3)</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550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Buigtreksterkte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Min. 0,8</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Druksterkte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CS II</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Hechting aan beton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Min. 0,4</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Classificatie van reactie op brand</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A1</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Duurzaamheid</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15 cycli</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Verbruik kg/m2/1 mm (kg)</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0,65</w:t>
            </w:r>
          </w:p>
        </w:tc>
      </w:tr>
    </w:tbl>
    <w:p>
      <w:pPr>
        <w:pStyle w:val="Normal"/>
        <w:rPr>
          <w:rFonts w:ascii="arial narrow" w:hAnsi="arial narrow"/>
          <w:color w:val="auto"/>
          <w:sz w:val="16"/>
          <w:szCs w:val="16"/>
          <w:lang w:val="sk-SK" w:eastAsia="en-US" w:bidi="ar-SA"/>
        </w:rPr>
      </w:pPr>
      <w:r>
        <w:rPr>
          <w:rFonts w:ascii="arial narrow" w:hAnsi="arial narrow"/>
          <w:color w:val="auto"/>
          <w:sz w:val="16"/>
          <w:szCs w:val="16"/>
          <w:lang w:val="sk-SK" w:eastAsia="en-US" w:bidi="ar-SA"/>
        </w:rPr>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KENNISGEVING:</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EN 13914-1 is van toepassing op het ontwerp, de voorbereiding en de uitvoering van buitenpleisterwerk</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Extra toevoeging van bindmiddelen, vulstoffen en andere additieven of screening van mengsels is niet toegestaan.</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Het mengsel kan alleen verwerkt worden bij lucht- en ondergrondtemperaturen van + 5 °C!!! Niet gebruiken als er vorst verwacht wordt!</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Er moet drinkwater of water conform EN1008 worden gebruikt om het mengsel te mengen.</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Verwijdering van het product: Gooi de gebruikte verpakking weg bij een erkende afvalstortplaats. Laat het ongebruikte materiaal uitharden en plaats het op een gemeentelijke afvalstortplaats. Eigen bereiding - afvalcode 101311 Afval van overige gemengde materialen niet vermeld onder de nummers 101309 en 101310. Geharde massa - afvalcode 170904 Gemengd bouw- en sloopafval niet vermeld onder de nummers 170901, 17090</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E.H.B.O.</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Bij gezondheidsproblemen of bij twijfel de arts waarschuwen.</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Bij inademing het slachtoffer in de frisse lucht brengen, bij ademhalingsproblemen medische hulp inroepen.</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Bij huidcontact de huid wassen met schoon water en zeep. Behandel geïrriteerde plekken met reparatiecrème.</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In geval van contact met de ogen, de oogleden onmiddellijk gedurende 15 minuten openspoelen met een stroom schoon water. en zoek dan medische hulp.</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Bij inslikken: spoel uw mond met water, drink 0,5 liter water en zoek medische hulp. Geen braken opwekken.</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Het product kan bij contact met de huid een allergische reactie veroorzaken. Als de symptomen van een impact (irritatie) veroorzaakt door contact met het product niet verdwijnen na het verlenen van eerste hulp, zoek dan medische hulp.</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Buiten bereik van kinderen bewaren!</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Veiligheids- en hygiënevoorschriften</w:t>
      </w:r>
    </w:p>
    <w:p>
      <w:pPr>
        <w:pStyle w:val="Telotextu"/>
        <w:spacing w:before="0" w:after="80"/>
        <w:ind w:left="6" w:right="57" w:hanging="6"/>
        <w:jc w:val="both"/>
        <w:rPr>
          <w:rFonts w:ascii="arial narrow" w:hAnsi="arial narrow"/>
          <w:sz w:val="16"/>
          <w:szCs w:val="16"/>
        </w:rPr>
      </w:pPr>
      <w:r>
        <w:rPr/>
        <w:drawing>
          <wp:inline distT="0" distB="0" distL="0" distR="0">
            <wp:extent cx="538480" cy="538480"/>
            <wp:effectExtent l="0" t="0" r="0" b="0"/>
            <wp:docPr id="1"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
                    <pic:cNvPicPr>
                      <a:picLocks noChangeAspect="1" noChangeArrowheads="1"/>
                    </pic:cNvPicPr>
                  </pic:nvPicPr>
                  <pic:blipFill>
                    <a:blip r:embed="rId2"/>
                    <a:stretch>
                      <a:fillRect/>
                    </a:stretch>
                  </pic:blipFill>
                  <pic:spPr bwMode="auto">
                    <a:xfrm>
                      <a:off x="0" y="0"/>
                      <a:ext cx="538480" cy="538480"/>
                    </a:xfrm>
                    <a:prstGeom prst="rect">
                      <a:avLst/>
                    </a:prstGeom>
                  </pic:spPr>
                </pic:pic>
              </a:graphicData>
            </a:graphic>
          </wp:inline>
        </w:drawing>
      </w:r>
      <w:r>
        <w:rPr>
          <w:rFonts w:ascii="arial narrow" w:hAnsi="arial narrow"/>
          <w:color w:val="auto"/>
          <w:spacing w:val="-3"/>
          <w:sz w:val="16"/>
          <w:szCs w:val="16"/>
          <w:lang w:val="sk-SK" w:eastAsia="en-US" w:bidi="ar-SA"/>
        </w:rPr>
        <w:t xml:space="preserve">       </w:t>
      </w:r>
      <w:r>
        <w:rPr/>
        <w:drawing>
          <wp:inline distT="0" distB="0" distL="0" distR="0">
            <wp:extent cx="519430" cy="519430"/>
            <wp:effectExtent l="0" t="0" r="0" b="0"/>
            <wp:docPr id="2" name="Bild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4" descr=""/>
                    <pic:cNvPicPr>
                      <a:picLocks noChangeAspect="1" noChangeArrowheads="1"/>
                    </pic:cNvPicPr>
                  </pic:nvPicPr>
                  <pic:blipFill>
                    <a:blip r:embed="rId3"/>
                    <a:stretch>
                      <a:fillRect/>
                    </a:stretch>
                  </pic:blipFill>
                  <pic:spPr bwMode="auto">
                    <a:xfrm>
                      <a:off x="0" y="0"/>
                      <a:ext cx="519430" cy="519430"/>
                    </a:xfrm>
                    <a:prstGeom prst="rect">
                      <a:avLst/>
                    </a:prstGeom>
                  </pic:spPr>
                </pic:pic>
              </a:graphicData>
            </a:graphic>
          </wp:inline>
        </w:drawing>
      </w:r>
    </w:p>
    <w:p>
      <w:pPr>
        <w:pStyle w:val="Telotextu"/>
        <w:spacing w:before="0" w:after="80"/>
        <w:ind w:left="6" w:right="57" w:hanging="6"/>
        <w:jc w:val="both"/>
        <w:rPr>
          <w:rFonts w:ascii="arial narrow" w:hAnsi="arial narrow"/>
          <w:color w:val="auto"/>
          <w:spacing w:val="-3"/>
          <w:sz w:val="16"/>
          <w:szCs w:val="16"/>
          <w:lang w:val="sk-SK" w:eastAsia="en-US" w:bidi="ar-SA"/>
        </w:rPr>
      </w:pPr>
      <w:r>
        <w:rPr>
          <w:rFonts w:ascii="arial narrow" w:hAnsi="arial narrow"/>
          <w:color w:val="auto"/>
          <w:spacing w:val="-3"/>
          <w:sz w:val="16"/>
          <w:szCs w:val="16"/>
          <w:lang w:val="sk-SK" w:eastAsia="en-US" w:bidi="ar-SA"/>
        </w:rPr>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Waarschuwingssymbool: Xi irriterend</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R37/38 Irriterend voor de luchtwegen en de huid.</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R41 Gevaar voor ernstig oogletsel.</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R43 Kan overgevoeligheid veroorzaken bij contact met de huid.</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 Buiten bereik van kinderen bewaren.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S22 Stof niet inademen.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S24 Vermijd contact met de huid.</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S25 Vermijd contact met de ogen.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S26 Bij oogcontact onmiddellijk met veel water afspoelen en medisch advies inwinnen.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S36/37/39 Draag geschikte beschermende kleding, beschermende handschoenen en een veiligheidsbril of gelaatsscherm.</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S46 Bij inslikken onmiddellijk een arts raadplegen en verpakking of etiket tonen.</w:t>
      </w:r>
    </w:p>
    <w:p>
      <w:pPr>
        <w:pStyle w:val="Telotextu"/>
        <w:spacing w:before="0" w:after="80"/>
        <w:ind w:left="125" w:right="57" w:hanging="0"/>
        <w:jc w:val="both"/>
        <w:rPr>
          <w:rFonts w:ascii="arial narrow" w:hAnsi="arial narrow"/>
          <w:b/>
          <w:b/>
          <w:color w:val="auto"/>
          <w:sz w:val="16"/>
          <w:szCs w:val="16"/>
          <w:lang w:val="sk-SK" w:eastAsia="en-US" w:bidi="ar-SA"/>
        </w:rPr>
      </w:pPr>
      <w:r>
        <w:rPr>
          <w:rFonts w:ascii="arial narrow" w:hAnsi="arial narrow"/>
          <w:b/>
          <w:color w:val="auto"/>
          <w:sz w:val="16"/>
          <w:szCs w:val="16"/>
          <w:lang w:val="sk-SK" w:eastAsia="en-US" w:bidi="ar-SA"/>
        </w:rPr>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Opslag</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 xml:space="preserve">Bewaar het product op een droge plaats in de originele verpakking - bescherm het tegen schade, blootstelling aan water en hoge relatieve vochtigheid. Als aan de gestelde voorwaarden wordt voldaan, bedraagt de houdbaarheid </w:t>
      </w:r>
      <w:r>
        <w:rPr>
          <w:rFonts w:ascii="arial narrow" w:hAnsi="arial narrow"/>
          <w:color w:val="auto"/>
          <w:spacing w:val="-1"/>
          <w:sz w:val="16"/>
          <w:szCs w:val="16"/>
          <w:lang w:val="sk-SK" w:eastAsia="en-US" w:bidi="ar-SA"/>
        </w:rPr>
        <w:t>12</w:t>
      </w:r>
      <w:r>
        <w:rPr>
          <w:rFonts w:ascii="arial narrow" w:hAnsi="arial narrow"/>
          <w:color w:val="auto"/>
          <w:spacing w:val="-1"/>
          <w:sz w:val="16"/>
          <w:szCs w:val="16"/>
          <w:lang w:val="sk-SK" w:eastAsia="en-US" w:bidi="ar-SA"/>
        </w:rPr>
        <w:t xml:space="preserve"> maanden vanaf de datum vermeld op de verpakking.</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Expeditie</w:t>
      </w:r>
      <w:r>
        <w:rPr>
          <w:rFonts w:ascii="arial narrow" w:hAnsi="arial narrow"/>
          <w:b/>
          <w:color w:val="auto"/>
          <w:sz w:val="16"/>
          <w:szCs w:val="16"/>
          <w:lang w:val="sk-SK" w:eastAsia="en-US" w:bidi="ar-SA"/>
        </w:rPr>
        <w:t xml:space="preserve"> </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Het droge mengsel wordt geleverd in papieren zakken op pallets bedekt met folie.</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Gemaakt</w:t>
      </w:r>
      <w:r>
        <w:rPr>
          <w:rFonts w:ascii="arial narrow" w:hAnsi="arial narrow"/>
          <w:b/>
          <w:color w:val="auto"/>
          <w:sz w:val="16"/>
          <w:szCs w:val="16"/>
          <w:lang w:val="sk-SK" w:eastAsia="en-US" w:bidi="ar-SA"/>
        </w:rPr>
        <w:t xml:space="preserve"> </w:t>
      </w:r>
    </w:p>
    <w:p>
      <w:pPr>
        <w:pStyle w:val="Telotextu"/>
        <w:spacing w:lineRule="auto" w:line="240"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in de EU voor SICC Coatings GmbH</w:t>
      </w:r>
      <w:bookmarkStart w:id="0" w:name="_GoBack"/>
      <w:bookmarkEnd w:id="0"/>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Geldigheid</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Vanaf 1.6.2020</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Omdat het gebruik en de verwerking van het product niet aan onze directe invloed onderhevig zijn, zijn wij niet verantwoordelijk voor schade veroorzaakt door onjuist gebruik. Wij behouden ons het recht voor om wijzigingen aan te brengen als gevolg van de technische vooruitgang.</w:t>
      </w:r>
    </w:p>
    <w:p>
      <w:pPr>
        <w:pStyle w:val="Telotextu"/>
        <w:spacing w:before="0" w:after="80"/>
        <w:ind w:left="0" w:right="57" w:hanging="0"/>
        <w:rPr>
          <w:rFonts w:ascii="arial narrow" w:hAnsi="arial narrow"/>
          <w:spacing w:val="-1"/>
          <w:sz w:val="16"/>
          <w:szCs w:val="16"/>
          <w:lang w:val="sk-SK" w:eastAsia="en-US" w:bidi="ar-SA"/>
        </w:rPr>
      </w:pPr>
      <w:r>
        <w:rPr>
          <w:rFonts w:ascii="arial narrow" w:hAnsi="arial narrow"/>
          <w:spacing w:val="-1"/>
          <w:sz w:val="16"/>
          <w:szCs w:val="16"/>
          <w:lang w:val="sk-SK" w:eastAsia="en-US" w:bidi="ar-SA"/>
        </w:rPr>
      </w:r>
    </w:p>
    <w:p>
      <w:pPr>
        <w:pStyle w:val="Telotextu"/>
        <w:spacing w:before="0" w:after="80"/>
        <w:ind w:left="0" w:right="57" w:hanging="0"/>
        <w:rPr>
          <w:rFonts w:ascii="arial narrow" w:hAnsi="arial narrow"/>
          <w:sz w:val="16"/>
          <w:szCs w:val="16"/>
        </w:rPr>
      </w:pPr>
      <w:r>
        <w:rPr>
          <w:rFonts w:ascii="arial narrow" w:hAnsi="arial narrow"/>
          <w:sz w:val="16"/>
          <w:szCs w:val="16"/>
        </w:rPr>
      </w:r>
    </w:p>
    <w:p>
      <w:pPr>
        <w:sectPr>
          <w:headerReference w:type="default" r:id="rId4"/>
          <w:footerReference w:type="default" r:id="rId5"/>
          <w:type w:val="nextPage"/>
          <w:pgSz w:w="11906" w:h="16838"/>
          <w:pgMar w:left="1021" w:right="1021" w:gutter="0" w:header="1418" w:top="1701" w:footer="851" w:bottom="1311"/>
          <w:pgNumType w:fmt="decimal"/>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1418" w:top="1701" w:footer="851" w:bottom="131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1"/>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Zpat1"/>
      <w:shd w:val="clear" w:color="auto" w:fill="3B3838" w:themeFill="background2" w:themeFillShade="40"/>
      <w:jc w:val="right"/>
      <w:rPr/>
    </w:pPr>
    <w:r>
      <w:rPr>
        <w:rFonts w:cs="Arial" w:ascii="Arial Narrow" w:hAnsi="Arial Narrow"/>
        <w:color w:val="F2F2F2" w:themeColor="background1" w:themeShade="f2"/>
        <w:sz w:val="20"/>
        <w:szCs w:val="20"/>
      </w:rPr>
      <w:t>TM IsoTex F50 | Stand 01.06.2020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1"/>
      <w:rPr>
        <w:rFonts w:ascii="Arial Narrow" w:hAnsi="Arial Narrow" w:cs="Arial"/>
        <w:b/>
        <w:b/>
        <w:sz w:val="24"/>
        <w:szCs w:val="24"/>
      </w:rPr>
    </w:pPr>
    <w:r>
      <w:rPr/>
      <w:drawing>
        <wp:inline distT="0" distB="0" distL="0" distR="0">
          <wp:extent cx="6263640" cy="1043940"/>
          <wp:effectExtent l="0" t="0" r="0" b="0"/>
          <wp:docPr id="3"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1"/>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1"/>
      <w:rPr/>
    </w:pPr>
    <w:r>
      <w:rPr>
        <w:rFonts w:cs="Arial" w:ascii="Arial Narrow" w:hAnsi="Arial Narrow"/>
        <w:b/>
        <w:color w:val="262626" w:themeColor="text1" w:themeTint="d9"/>
        <w:sz w:val="24"/>
        <w:szCs w:val="24"/>
      </w:rPr>
      <w:t>Technisch papier:</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F50</w:t>
    </w:r>
  </w:p>
  <w:p>
    <w:pPr>
      <w:pStyle w:val="Zhlav1"/>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11b0"/>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Zhlav1"/>
    <w:uiPriority w:val="99"/>
    <w:qFormat/>
    <w:rsid w:val="00236d9d"/>
    <w:rPr/>
  </w:style>
  <w:style w:type="character" w:styleId="FuzeileZchn" w:customStyle="1">
    <w:name w:val="Fußzeile Zchn"/>
    <w:basedOn w:val="DefaultParagraphFont"/>
    <w:link w:val="Zpat1"/>
    <w:uiPriority w:val="99"/>
    <w:qFormat/>
    <w:rsid w:val="00236d9d"/>
    <w:rPr/>
  </w:style>
  <w:style w:type="character" w:styleId="ZkladntextChar" w:customStyle="1">
    <w:name w:val="Základní text Char"/>
    <w:basedOn w:val="DefaultParagraphFont"/>
    <w:uiPriority w:val="1"/>
    <w:qFormat/>
    <w:rsid w:val="00236d9d"/>
    <w:rPr>
      <w:rFonts w:ascii="Arial Narrow" w:hAnsi="Arial Narrow" w:eastAsia="Arial Narrow"/>
      <w:sz w:val="16"/>
      <w:szCs w:val="16"/>
      <w:lang w:val="nl-NL"/>
    </w:rPr>
  </w:style>
  <w:style w:type="character" w:styleId="Internetovodkaz" w:customStyle="1">
    <w:name w:val="Internetový odkaz"/>
    <w:basedOn w:val="DefaultParagraphFont"/>
    <w:uiPriority w:val="99"/>
    <w:unhideWhenUsed/>
    <w:rsid w:val="005e1672"/>
    <w:rPr>
      <w:color w:val="0563C1" w:themeColor="hyperlink"/>
      <w:u w:val="single"/>
    </w:rPr>
  </w:style>
  <w:style w:type="character" w:styleId="Nevyeenzmnka1" w:customStyle="1">
    <w:name w:val="Nevyřešená zmínka1"/>
    <w:basedOn w:val="DefaultParagraphFont"/>
    <w:uiPriority w:val="99"/>
    <w:semiHidden/>
    <w:unhideWhenUsed/>
    <w:qFormat/>
    <w:rsid w:val="005e1672"/>
    <w:rPr>
      <w:color w:val="808080"/>
      <w:shd w:fill="E6E6E6" w:val="clear"/>
    </w:rPr>
  </w:style>
  <w:style w:type="character" w:styleId="TextbublinyChar" w:customStyle="1">
    <w:name w:val="Text bubliny Char"/>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customStyle="1">
    <w:name w:val="Odrážky"/>
    <w:qFormat/>
    <w:rsid w:val="003611b0"/>
    <w:rPr>
      <w:rFonts w:ascii="OpenSymbol" w:hAnsi="OpenSymbol" w:eastAsia="OpenSymbol" w:cs="OpenSymbol"/>
    </w:rPr>
  </w:style>
  <w:style w:type="character" w:styleId="ZhlavChar" w:customStyle="1">
    <w:name w:val="Záhlaví Char"/>
    <w:basedOn w:val="DefaultParagraphFont"/>
    <w:uiPriority w:val="99"/>
    <w:qFormat/>
    <w:rsid w:val="009c4ab2"/>
    <w:rPr/>
  </w:style>
  <w:style w:type="character" w:styleId="ZpatChar" w:customStyle="1">
    <w:name w:val="Zápatí Char"/>
    <w:basedOn w:val="DefaultParagraphFont"/>
    <w:uiPriority w:val="99"/>
    <w:qFormat/>
    <w:rsid w:val="009c4ab2"/>
    <w:rPr/>
  </w:style>
  <w:style w:type="paragraph" w:styleId="Nadpis" w:customStyle="1">
    <w:name w:val="Nadpis"/>
    <w:basedOn w:val="Normal"/>
    <w:next w:val="Telotextu"/>
    <w:qFormat/>
    <w:rsid w:val="003611b0"/>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uiPriority w:val="1"/>
    <w:qFormat/>
    <w:rsid w:val="00236d9d"/>
    <w:pPr>
      <w:widowControl w:val="false"/>
      <w:spacing w:lineRule="auto" w:line="240" w:before="0" w:after="0"/>
      <w:ind w:left="125" w:hanging="0"/>
    </w:pPr>
    <w:rPr>
      <w:rFonts w:ascii="Arial Narrow" w:hAnsi="Arial Narrow" w:eastAsia="Arial Narrow"/>
      <w:sz w:val="16"/>
      <w:szCs w:val="16"/>
      <w:lang w:val="nl-NL"/>
    </w:rPr>
  </w:style>
  <w:style w:type="paragraph" w:styleId="Zoznam">
    <w:name w:val="List"/>
    <w:basedOn w:val="Telotextu"/>
    <w:rsid w:val="003611b0"/>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3611b0"/>
    <w:pPr>
      <w:suppressLineNumbers/>
    </w:pPr>
    <w:rPr>
      <w:rFonts w:cs="Lohit Devanagari"/>
    </w:rPr>
  </w:style>
  <w:style w:type="paragraph" w:styleId="Titulek1" w:customStyle="1">
    <w:name w:val="Titulek1"/>
    <w:basedOn w:val="Normal"/>
    <w:qFormat/>
    <w:rsid w:val="003611b0"/>
    <w:pPr>
      <w:suppressLineNumbers/>
      <w:spacing w:before="120" w:after="120"/>
    </w:pPr>
    <w:rPr>
      <w:rFonts w:cs="Lohit Devanagari"/>
      <w:i/>
      <w:iCs/>
      <w:sz w:val="24"/>
      <w:szCs w:val="24"/>
    </w:rPr>
  </w:style>
  <w:style w:type="paragraph" w:styleId="Zhlav1" w:customStyle="1">
    <w:name w:val="Záhlaví1"/>
    <w:basedOn w:val="Normal"/>
    <w:link w:val="Kopf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Zpat1" w:customStyle="1">
    <w:name w:val="Zápatí1"/>
    <w:basedOn w:val="Normal"/>
    <w:link w:val="Fu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c913e4"/>
    <w:pPr>
      <w:spacing w:lineRule="auto" w:line="240" w:before="0" w:after="0"/>
    </w:pPr>
    <w:rPr>
      <w:rFonts w:ascii="Segoe UI" w:hAnsi="Segoe UI" w:cs="Segoe UI"/>
      <w:sz w:val="18"/>
      <w:szCs w:val="18"/>
    </w:rPr>
  </w:style>
  <w:style w:type="paragraph" w:styleId="Obsahtabuky" w:customStyle="1">
    <w:name w:val="Obsah tabuľky"/>
    <w:basedOn w:val="Normal"/>
    <w:qFormat/>
    <w:rsid w:val="003611b0"/>
    <w:pPr>
      <w:suppressLineNumbers/>
    </w:pPr>
    <w:rPr/>
  </w:style>
  <w:style w:type="paragraph" w:styleId="Nadpistabuky" w:customStyle="1">
    <w:name w:val="Nadpis tabuľky"/>
    <w:basedOn w:val="Obsahtabuky"/>
    <w:qFormat/>
    <w:rsid w:val="003611b0"/>
    <w:pPr>
      <w:jc w:val="center"/>
    </w:pPr>
    <w:rPr>
      <w:b/>
      <w:bCs/>
    </w:rPr>
  </w:style>
  <w:style w:type="paragraph" w:styleId="ListParagraph">
    <w:name w:val="List Paragraph"/>
    <w:basedOn w:val="Normal"/>
    <w:qFormat/>
    <w:rsid w:val="003611b0"/>
    <w:pPr>
      <w:spacing w:lineRule="auto" w:line="240" w:before="0" w:after="200"/>
      <w:ind w:left="720" w:hanging="0"/>
      <w:contextualSpacing/>
    </w:pPr>
    <w:rPr>
      <w:rFonts w:ascii="Calibri" w:hAnsi="Calibri" w:eastAsia="Calibri" w:cs="Times New Roman"/>
      <w:lang w:val="nl-NL"/>
    </w:rPr>
  </w:style>
  <w:style w:type="paragraph" w:styleId="Hlavikaapta">
    <w:name w:val="Hlavička a päta"/>
    <w:basedOn w:val="Normal"/>
    <w:qFormat/>
    <w:pPr/>
    <w:rPr/>
  </w:style>
  <w:style w:type="paragraph" w:styleId="Zhlavie">
    <w:name w:val="Header"/>
    <w:basedOn w:val="Normal"/>
    <w:link w:val="ZhlavChar"/>
    <w:uiPriority w:val="99"/>
    <w:unhideWhenUsed/>
    <w:rsid w:val="009c4ab2"/>
    <w:pPr>
      <w:tabs>
        <w:tab w:val="clear" w:pos="708"/>
        <w:tab w:val="center" w:pos="4536" w:leader="none"/>
        <w:tab w:val="right" w:pos="9072" w:leader="none"/>
      </w:tabs>
      <w:spacing w:lineRule="auto" w:line="240" w:before="0" w:after="0"/>
    </w:pPr>
    <w:rPr/>
  </w:style>
  <w:style w:type="paragraph" w:styleId="Pta">
    <w:name w:val="Footer"/>
    <w:basedOn w:val="Normal"/>
    <w:link w:val="ZpatChar"/>
    <w:uiPriority w:val="99"/>
    <w:unhideWhenUsed/>
    <w:rsid w:val="009c4ab2"/>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9c4ab2"/>
    <w:rPr>
      <w:lang w:va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1878-D87A-425E-9D30-BD277078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LibreOffice/7.3.7.2$Linux_X86_64 LibreOffice_project/30$Build-2</Application>
  <AppVersion>15.0000</AppVersion>
  <Pages>2</Pages>
  <Words>906</Words>
  <Characters>5166</Characters>
  <CharactersWithSpaces>6007</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2021-07-29T06:57:00Z</dcterms:created>
  <dc:creator>Sprenger</dc:creator>
  <dc:description/>
  <dc:language>sk-SK</dc:language>
  <cp:lastModifiedBy/>
  <cp:lastPrinted>2019-10-31T10:14:00Z</cp:lastPrinted>
  <dcterms:modified xsi:type="dcterms:W3CDTF">2025-06-13T11:30:18Z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