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sz w:val="16"/>
          <w:szCs w:val="16"/>
        </w:rPr>
      </w:pPr>
      <w:r>
        <w:rPr>
          <w:rFonts w:ascii="arial narrow" w:hAnsi="arial narrow"/>
          <w:b/>
          <w:bCs/>
          <w:color w:val="auto"/>
          <w:sz w:val="16"/>
          <w:szCs w:val="16"/>
          <w:lang w:val="sk-SK" w:eastAsia="en-US" w:bidi="ar-SA"/>
        </w:rPr>
        <w:t xml:space="preserve">Vaaleaa stukkokipsiä F-50 </w:t>
      </w:r>
      <w:r>
        <w:rPr>
          <w:rFonts w:ascii="arial narrow" w:hAnsi="arial narrow"/>
          <w:color w:val="auto"/>
          <w:sz w:val="16"/>
          <w:szCs w:val="16"/>
          <w:lang w:val="sk-SK" w:eastAsia="en-US" w:bidi="ar-SA"/>
        </w:rPr>
        <w:t>käytetään viimeistelykerroksena sisä- ja ulkotiloissa. Levitetyn kerroksen paksuus enintään 3 mm.</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Alustan valmistelu:</w:t>
      </w:r>
    </w:p>
    <w:p>
      <w:pPr>
        <w:pStyle w:val="Normal"/>
        <w:rPr>
          <w:rFonts w:ascii="arial narrow" w:hAnsi="arial narrow"/>
          <w:sz w:val="16"/>
          <w:szCs w:val="16"/>
        </w:rPr>
      </w:pPr>
      <w:r>
        <w:rPr>
          <w:rFonts w:ascii="arial narrow" w:hAnsi="arial narrow"/>
          <w:color w:val="auto"/>
          <w:sz w:val="16"/>
          <w:szCs w:val="16"/>
          <w:lang w:val="sk-SK" w:eastAsia="en-US" w:bidi="ar-SA"/>
        </w:rPr>
        <w:t>Kippaamme IsoTex R70:een. Se on lopullinen pintakäsittely.</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Yleiset käyttösuositukset: </w:t>
      </w:r>
      <w:r>
        <w:rPr>
          <w:rFonts w:ascii="arial narrow" w:hAnsi="arial narrow"/>
          <w:color w:val="auto"/>
          <w:sz w:val="16"/>
          <w:szCs w:val="16"/>
          <w:lang w:val="sk-SK" w:eastAsia="en-US" w:bidi="ar-SA"/>
        </w:rPr>
        <w:t>Työskentele +5°C - +25°C lämpötilassa.</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Tärkeä! </w:t>
      </w:r>
      <w:r>
        <w:rPr>
          <w:rFonts w:ascii="arial narrow" w:hAnsi="arial narrow"/>
          <w:color w:val="auto"/>
          <w:sz w:val="16"/>
          <w:szCs w:val="16"/>
          <w:lang w:val="sk-SK" w:eastAsia="en-US" w:bidi="ar-SA"/>
        </w:rPr>
        <w:t>Kesällä älä työskentele suorassa auringonvalossa. Vältä suoraa sadetta kipsille.</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Huomautus: </w:t>
      </w:r>
      <w:r>
        <w:rPr>
          <w:rFonts w:ascii="arial narrow" w:hAnsi="arial narrow"/>
          <w:color w:val="auto"/>
          <w:sz w:val="16"/>
          <w:szCs w:val="16"/>
          <w:lang w:val="sk-SK" w:eastAsia="en-US" w:bidi="ar-SA"/>
        </w:rPr>
        <w:t>F-50 kipsi sisältää sementtiä ja kalkkia, jotka yhdessä veden kanssa aiheuttavat emäksisen reaktion, joten silmät ja iho on suojattava laastin kanssa työskennellessä. Jos kipsiä joutuu silmiin, huuhtele ne välittömästi vedellä ja hakeudu lääkärin hoitoon.</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Kipsin valmistus:</w:t>
      </w:r>
    </w:p>
    <w:p>
      <w:pPr>
        <w:pStyle w:val="Normal"/>
        <w:rPr>
          <w:rFonts w:ascii="arial narrow" w:hAnsi="arial narrow"/>
          <w:sz w:val="16"/>
          <w:szCs w:val="16"/>
        </w:rPr>
      </w:pPr>
      <w:r>
        <w:rPr>
          <w:rFonts w:ascii="arial narrow" w:hAnsi="arial narrow"/>
          <w:color w:val="auto"/>
          <w:sz w:val="16"/>
          <w:szCs w:val="16"/>
          <w:lang w:val="sk-SK" w:eastAsia="en-US" w:bidi="ar-SA"/>
        </w:rPr>
        <w:t>Kaada puhdasta vettä 4,5-5,5 litraa 10 kg pussia kohti pyöreään tasapohjaiseen säiliöön. Kaada F-50 kipsi veteen.</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Tärkeä! </w:t>
      </w:r>
      <w:r>
        <w:rPr>
          <w:rFonts w:ascii="arial narrow" w:hAnsi="arial narrow"/>
          <w:color w:val="auto"/>
          <w:sz w:val="16"/>
          <w:szCs w:val="16"/>
          <w:lang w:val="sk-SK" w:eastAsia="en-US" w:bidi="ar-SA"/>
        </w:rPr>
        <w:t>Käytä aina koko pakettia käsittelyyn! Pakkauksen sisällön osittainen kuluttaminen on kiellettyä. Sekoita perusteellisesti 4-5 minuuttia rakennussekoittimella keskinopeudella, jotta saadaan tasainen ja paakkumaton koostumus. Anna seistä n. 5 minuuttia.</w:t>
      </w:r>
    </w:p>
    <w:p>
      <w:pPr>
        <w:pStyle w:val="Normal"/>
        <w:rPr>
          <w:rFonts w:ascii="arial narrow" w:hAnsi="arial narrow"/>
          <w:sz w:val="16"/>
          <w:szCs w:val="16"/>
        </w:rPr>
      </w:pPr>
      <w:r>
        <w:rPr>
          <w:rFonts w:ascii="arial narrow" w:hAnsi="arial narrow"/>
          <w:color w:val="auto"/>
          <w:sz w:val="16"/>
          <w:szCs w:val="16"/>
          <w:lang w:val="sk-SK" w:eastAsia="en-US" w:bidi="ar-SA"/>
        </w:rPr>
        <w:t>Sekoita laasti uudelleen perusteellisesti 5 minuutin kuluttua.</w:t>
      </w:r>
    </w:p>
    <w:p>
      <w:pPr>
        <w:pStyle w:val="Normal"/>
        <w:rPr>
          <w:rFonts w:ascii="arial narrow" w:hAnsi="arial narrow"/>
          <w:sz w:val="16"/>
          <w:szCs w:val="16"/>
        </w:rPr>
      </w:pPr>
      <w:r>
        <w:rPr>
          <w:rFonts w:ascii="arial narrow" w:hAnsi="arial narrow"/>
          <w:color w:val="auto"/>
          <w:sz w:val="16"/>
          <w:szCs w:val="16"/>
          <w:lang w:val="sk-SK" w:eastAsia="en-US" w:bidi="ar-SA"/>
        </w:rPr>
        <w:t>Sekoitus tippasekoittimessa ei ole sallittua!!!.</w:t>
      </w:r>
    </w:p>
    <w:p>
      <w:pPr>
        <w:pStyle w:val="Normal"/>
        <w:rPr>
          <w:rFonts w:ascii="arial narrow" w:hAnsi="arial narrow"/>
          <w:sz w:val="16"/>
          <w:szCs w:val="16"/>
        </w:rPr>
      </w:pPr>
      <w:r>
        <w:rPr>
          <w:rFonts w:ascii="arial narrow" w:hAnsi="arial narrow"/>
          <w:color w:val="auto"/>
          <w:sz w:val="16"/>
          <w:szCs w:val="16"/>
          <w:lang w:val="sk-SK" w:eastAsia="en-US" w:bidi="ar-SA"/>
        </w:rPr>
        <w:t>Oikein sekoitettu laasti on koostumukseltaan tasalaatuista, ilman kokkareita ja tarttuu täydellisesti levitettävään pintaan.</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Kipsi F-50 </w:t>
      </w:r>
      <w:r>
        <w:rPr>
          <w:rFonts w:ascii="arial narrow" w:hAnsi="arial narrow"/>
          <w:color w:val="auto"/>
          <w:sz w:val="16"/>
          <w:szCs w:val="16"/>
          <w:lang w:val="sk-SK" w:eastAsia="en-US" w:bidi="ar-SA"/>
        </w:rPr>
        <w:t>on tarkoitettu sekä manuaaliseen että koneelliseen käsittelyyn. Levitä enintään 3 mm paksu rappaus alustalle tasaisella seinäpinnalla. Manuaalista käsittelyä varten levitä kipsi seinälle ruostumattomasta teräksestä valmistetun lastalla. Tasoita kerroksen levittämisen jälkeen laasti lastalla ja noin 20-30 minuuttia levittämisen jälkeen tasoita laasti pyörivin liikkein muovilastalla, jotta saadaan tasainen pintarakenne. Laastin pohja on kostutettava tai käsiteltävä FixPlus tunkeutuvalla pinnoitteella.</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Takuu:</w:t>
      </w:r>
    </w:p>
    <w:p>
      <w:pPr>
        <w:pStyle w:val="Normal"/>
        <w:rPr>
          <w:rFonts w:ascii="arial narrow" w:hAnsi="arial narrow"/>
          <w:sz w:val="16"/>
          <w:szCs w:val="16"/>
        </w:rPr>
      </w:pPr>
      <w:r>
        <w:rPr>
          <w:rFonts w:ascii="arial narrow" w:hAnsi="arial narrow"/>
          <w:color w:val="auto"/>
          <w:sz w:val="16"/>
          <w:szCs w:val="16"/>
          <w:lang w:val="sk-SK" w:eastAsia="en-US" w:bidi="ar-SA"/>
        </w:rPr>
        <w:t>Valmistaja takaa F-50-laastarin yhdenmukaisuuden tässä TL:ssä määriteltyjen teknisten parametrien kanssa edellyttäen, että rappauksen kuljetus-, varastointi-, valmistelu- ja levitysperiaatteita noudatetaan. Valmistaja ei ole vastuussa laastin virheellisestä käytöstä ja sen käytöstä sellaisiin tarkoituksiin ja olosuhteisiin, joita ei ole määritelty teknisessä kuvauksessa.</w:t>
      </w:r>
    </w:p>
    <w:p>
      <w:pPr>
        <w:pStyle w:val="Normal"/>
        <w:rPr>
          <w:rFonts w:ascii="arial narrow" w:hAnsi="arial narrow"/>
          <w:sz w:val="16"/>
          <w:szCs w:val="16"/>
        </w:rPr>
      </w:pPr>
      <w:r>
        <w:rPr>
          <w:rFonts w:ascii="arial narrow" w:hAnsi="arial narrow"/>
          <w:color w:val="auto"/>
          <w:sz w:val="16"/>
          <w:szCs w:val="16"/>
          <w:lang w:val="sk-SK" w:eastAsia="en-US" w:bidi="ar-SA"/>
        </w:rPr>
        <w:t>Taattu säilyvyys alkuperäispakkauksessa, lavoilla ja kuivassa tilassa - 12 kuukautta pakkauksessa olevasta valmistuspäivästä.</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Tekniset parametrit</w:t>
      </w:r>
    </w:p>
    <w:tbl>
      <w:tblPr>
        <w:tblStyle w:val="Mkatabulky"/>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1687"/>
        <w:gridCol w:w="1412"/>
      </w:tblGrid>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Veden annostelu W/F</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0,50-0,55</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Tuoreen laastin tilavuuspaino (kg/m3)</w:t>
            </w:r>
          </w:p>
        </w:tc>
        <w:tc>
          <w:tcPr>
            <w:tcW w:w="1412" w:type="dxa"/>
            <w:tcBorders/>
            <w:shd w:fill="auto" w:val="clear"/>
          </w:tcPr>
          <w:p>
            <w:pPr>
              <w:pStyle w:val="Normal"/>
              <w:widowControl w:val="false"/>
              <w:spacing w:before="0" w:after="160"/>
              <w:rPr>
                <w:rFonts w:ascii="arial narrow" w:hAnsi="arial narrow"/>
                <w:sz w:val="16"/>
                <w:szCs w:val="16"/>
              </w:rPr>
            </w:pPr>
            <w:r>
              <w:rPr>
                <w:rFonts w:cs="Calibri" w:ascii="arial narrow" w:hAnsi="arial narrow" w:cstheme="minorHAnsi"/>
                <w:color w:val="auto"/>
                <w:sz w:val="16"/>
                <w:szCs w:val="16"/>
                <w:lang w:val="sk-SK" w:eastAsia="en-US" w:bidi="ar-SA"/>
              </w:rPr>
              <w:t xml:space="preserve">≤ </w:t>
            </w:r>
            <w:r>
              <w:rPr>
                <w:rFonts w:ascii="arial narrow" w:hAnsi="arial narrow"/>
                <w:color w:val="auto"/>
                <w:sz w:val="16"/>
                <w:szCs w:val="16"/>
                <w:lang w:val="sk-SK" w:eastAsia="en-US" w:bidi="ar-SA"/>
              </w:rPr>
              <w:t>1,050</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Kovetetun laastin tilavuuspaino (kg/m3)</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550</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Taivutusvetolujuus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Min. 0.8</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Puristuslujuus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CS II</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Tarttuvuus betoniin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Min. 0.4</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Paloherkkyysluokitus</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A1</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Kestävyys</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15 sykliä</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Kulutus kg/m2/1 mm (kg)</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0,65</w:t>
            </w:r>
          </w:p>
        </w:tc>
      </w:tr>
    </w:tbl>
    <w:p>
      <w:pPr>
        <w:pStyle w:val="Normal"/>
        <w:rPr>
          <w:rFonts w:ascii="arial narrow" w:hAnsi="arial narrow"/>
          <w:color w:val="auto"/>
          <w:sz w:val="16"/>
          <w:szCs w:val="16"/>
          <w:lang w:val="sk-SK" w:eastAsia="en-US" w:bidi="ar-SA"/>
        </w:rPr>
      </w:pPr>
      <w:r>
        <w:rPr>
          <w:rFonts w:ascii="arial narrow" w:hAnsi="arial narrow"/>
          <w:color w:val="auto"/>
          <w:sz w:val="16"/>
          <w:szCs w:val="16"/>
          <w:lang w:val="sk-SK" w:eastAsia="en-US" w:bidi="ar-SA"/>
        </w:rPr>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ILMOITUS:</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EN 13914-1 koskee ulkorappausten suunnittelua, valmistelua ja toteutusta</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Sideaineiden, täyteaineiden ja muiden lisäaineiden lisääminen tai seosten seulonta ei ole sallittua.</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Seosta voidaan käsitellä vain +5 °C ilman ja alustan lämpötiloissa!!! Älä käytä, kun on odotettavissa pakkasta!</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Seoksen sekoittamiseen tulee käyttää juomavettä tai EN1008 mukaista vettä.</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Tuotteen hävittäminen: Aseta käytetty pakkaus valtuutettuun kaatopaikkaan. Anna käyttämättömän materiaalin kovettua ja laita se yhdyskuntajätteiden kaatopaikalle. Oma valmiste - jätekoodi 101311 Jäte muista sekamateriaalista, jota ei ole lueteltu numeroissa 101309 ja 101310. Karkaistu massa - jätekoodi 170904 Sekarakennus- ja purkujäte, jota ei ole lueteltu numeroissa 170901, 17090</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Ensiapu</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Jos sinulla on terveysongelmia tai epäilyksiä, kerro siitä lääkärille.</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Jos ainetta on hengitetty, siirrä uhri raittiiseen ilmaan, hengitysvaikeuksien sattuessa kutsu lääkärin apua.</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Jos ainetta joutuu iholle, pese iho puhtaalla vedellä ja saippualla. Käsittele ärtyneet alueet korjausvoiteella.</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Jos ainetta joutuu silmiin, huuhtele silmäluomet välittömästi auki puhtaalla vedellä 15 minuutin ajan. ja hakeudu sitten lääkärin hoitoon.</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Jos ainetta on nielty, huuhtele suusi vedellä, juo 0,5 litraa vettä ja hakeudu lääkärin hoitoon. Älä aiheuta oksentamista.</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Tuote voi aiheuttaa allergisen reaktion joutuessaan iholle. Jos tuotteen kanssa kosketuksesta aiheutuvat vaikutukset (ärsytys) eivät häviä ensiavun antamisen jälkeen, hakeudu lääkärin hoitoon.</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Säilytä lasten ulottumattomissa!</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Turvallisuus- ja hygieniamääräykset</w:t>
      </w:r>
    </w:p>
    <w:p>
      <w:pPr>
        <w:pStyle w:val="Telotextu"/>
        <w:spacing w:before="0" w:after="80"/>
        <w:ind w:left="6" w:right="57" w:hanging="6"/>
        <w:jc w:val="both"/>
        <w:rPr>
          <w:rFonts w:ascii="arial narrow" w:hAnsi="arial narrow"/>
          <w:sz w:val="16"/>
          <w:szCs w:val="16"/>
        </w:rPr>
      </w:pPr>
      <w:r>
        <w:rPr/>
        <w:drawing>
          <wp:inline distT="0" distB="0" distL="0" distR="0">
            <wp:extent cx="538480" cy="538480"/>
            <wp:effectExtent l="0" t="0" r="0" b="0"/>
            <wp:docPr id="1" name="Bild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
                    <pic:cNvPicPr>
                      <a:picLocks noChangeAspect="1" noChangeArrowheads="1"/>
                    </pic:cNvPicPr>
                  </pic:nvPicPr>
                  <pic:blipFill>
                    <a:blip r:embed="rId2"/>
                    <a:stretch>
                      <a:fillRect/>
                    </a:stretch>
                  </pic:blipFill>
                  <pic:spPr bwMode="auto">
                    <a:xfrm>
                      <a:off x="0" y="0"/>
                      <a:ext cx="538480" cy="538480"/>
                    </a:xfrm>
                    <a:prstGeom prst="rect">
                      <a:avLst/>
                    </a:prstGeom>
                  </pic:spPr>
                </pic:pic>
              </a:graphicData>
            </a:graphic>
          </wp:inline>
        </w:drawing>
      </w:r>
      <w:r>
        <w:rPr>
          <w:rFonts w:ascii="arial narrow" w:hAnsi="arial narrow"/>
          <w:color w:val="auto"/>
          <w:spacing w:val="-3"/>
          <w:sz w:val="16"/>
          <w:szCs w:val="16"/>
          <w:lang w:val="sk-SK" w:eastAsia="en-US" w:bidi="ar-SA"/>
        </w:rPr>
        <w:t xml:space="preserve">       </w:t>
      </w:r>
      <w:r>
        <w:rPr/>
        <w:drawing>
          <wp:inline distT="0" distB="0" distL="0" distR="0">
            <wp:extent cx="519430" cy="519430"/>
            <wp:effectExtent l="0" t="0" r="0" b="0"/>
            <wp:docPr id="2" name="Bild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4" descr=""/>
                    <pic:cNvPicPr>
                      <a:picLocks noChangeAspect="1" noChangeArrowheads="1"/>
                    </pic:cNvPicPr>
                  </pic:nvPicPr>
                  <pic:blipFill>
                    <a:blip r:embed="rId3"/>
                    <a:stretch>
                      <a:fillRect/>
                    </a:stretch>
                  </pic:blipFill>
                  <pic:spPr bwMode="auto">
                    <a:xfrm>
                      <a:off x="0" y="0"/>
                      <a:ext cx="519430" cy="519430"/>
                    </a:xfrm>
                    <a:prstGeom prst="rect">
                      <a:avLst/>
                    </a:prstGeom>
                  </pic:spPr>
                </pic:pic>
              </a:graphicData>
            </a:graphic>
          </wp:inline>
        </w:drawing>
      </w:r>
    </w:p>
    <w:p>
      <w:pPr>
        <w:pStyle w:val="Telotextu"/>
        <w:spacing w:before="0" w:after="80"/>
        <w:ind w:left="6" w:right="57" w:hanging="6"/>
        <w:jc w:val="both"/>
        <w:rPr>
          <w:rFonts w:ascii="arial narrow" w:hAnsi="arial narrow"/>
          <w:color w:val="auto"/>
          <w:spacing w:val="-3"/>
          <w:sz w:val="16"/>
          <w:szCs w:val="16"/>
          <w:lang w:val="sk-SK" w:eastAsia="en-US" w:bidi="ar-SA"/>
        </w:rPr>
      </w:pPr>
      <w:r>
        <w:rPr>
          <w:rFonts w:ascii="arial narrow" w:hAnsi="arial narrow"/>
          <w:color w:val="auto"/>
          <w:spacing w:val="-3"/>
          <w:sz w:val="16"/>
          <w:szCs w:val="16"/>
          <w:lang w:val="sk-SK" w:eastAsia="en-US" w:bidi="ar-SA"/>
        </w:rPr>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Varoitussymboli: Xi ärsyttävä</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R37/38 Ärsyttää hengitysteitä ja ihoa.</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R41 Vakavan silmävaurion vaara.</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R43 Ihokosketus voi aiheuttaa herkistymistä.</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 Säilytettävä lasten ulottumattomissa.</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S22 Vältettävä pölyn hengittämistä.</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S24 Varottava kemikaalin joutumista iholle.</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S25 Varottava kemikaalin joutumista silmiin.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S26 Roiskeet silmistä huuhdeltava välittömästi runsaalla vedellä ja mentävä lääkäriin.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S36/37/39 Käytettävä sopivaa suojavaatetusta, suojakäsineitä ja suojalaseja tai kasvosuojainta.</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S46 Jos ainetta on nielty, hakeuduttava välittömästi lääkärin hoitoon ja näytettävä tämä pakkaus tai etiketti.</w:t>
      </w:r>
    </w:p>
    <w:p>
      <w:pPr>
        <w:pStyle w:val="Telotextu"/>
        <w:spacing w:before="0" w:after="80"/>
        <w:ind w:left="125" w:right="57" w:hanging="0"/>
        <w:jc w:val="both"/>
        <w:rPr>
          <w:rFonts w:ascii="arial narrow" w:hAnsi="arial narrow"/>
          <w:b/>
          <w:b/>
          <w:color w:val="auto"/>
          <w:sz w:val="16"/>
          <w:szCs w:val="16"/>
          <w:lang w:val="sk-SK" w:eastAsia="en-US" w:bidi="ar-SA"/>
        </w:rPr>
      </w:pPr>
      <w:r>
        <w:rPr>
          <w:rFonts w:ascii="arial narrow" w:hAnsi="arial narrow"/>
          <w:b/>
          <w:color w:val="auto"/>
          <w:sz w:val="16"/>
          <w:szCs w:val="16"/>
          <w:lang w:val="sk-SK" w:eastAsia="en-US" w:bidi="ar-SA"/>
        </w:rPr>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Varastointi</w:t>
      </w:r>
    </w:p>
    <w:p>
      <w:pPr>
        <w:pStyle w:val="Telotextu"/>
        <w:spacing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 xml:space="preserve">Säilytä tuotetta kuivassa paikassa alkuperäispakkauksessa - suojaa vaurioilta, altistumiselta vedelle ja korkealle suhteelliselle kosteudelle. Jos ilmoitettuja ehtoja noudatetaan, säilyvyys on </w:t>
      </w:r>
      <w:r>
        <w:rPr>
          <w:rFonts w:ascii="arial narrow" w:hAnsi="arial narrow"/>
          <w:color w:val="auto"/>
          <w:spacing w:val="-1"/>
          <w:sz w:val="16"/>
          <w:szCs w:val="16"/>
          <w:lang w:val="sk-SK" w:eastAsia="en-US" w:bidi="ar-SA"/>
        </w:rPr>
        <w:t>12</w:t>
      </w:r>
      <w:r>
        <w:rPr>
          <w:rFonts w:ascii="arial narrow" w:hAnsi="arial narrow"/>
          <w:color w:val="auto"/>
          <w:spacing w:val="-1"/>
          <w:sz w:val="16"/>
          <w:szCs w:val="16"/>
          <w:lang w:val="sk-SK" w:eastAsia="en-US" w:bidi="ar-SA"/>
        </w:rPr>
        <w:t xml:space="preserve"> kuukautta pakkaukseen merkitystä päivämäärästä.</w:t>
      </w:r>
    </w:p>
    <w:p>
      <w:pPr>
        <w:pStyle w:val="Normal"/>
        <w:shd w:val="clear" w:color="auto" w:fill="808080" w:themeFill="background1" w:themeFillShade="80"/>
        <w:spacing w:before="160" w:after="160"/>
        <w:rPr>
          <w:rFonts w:ascii="arial narrow" w:hAnsi="arial narrow"/>
          <w:sz w:val="16"/>
          <w:szCs w:val="16"/>
        </w:rPr>
      </w:pPr>
      <w:r>
        <w:rPr>
          <w:rFonts w:ascii="arial narrow" w:hAnsi="arial narrow"/>
          <w:b/>
          <w:color w:val="FFFFFF" w:themeColor="background1"/>
          <w:sz w:val="18"/>
          <w:szCs w:val="18"/>
          <w:lang w:val="sk-SK" w:eastAsia="en-US" w:bidi="ar-SA"/>
        </w:rPr>
        <w:t>Retkikunta</w:t>
      </w:r>
      <w:r>
        <w:rPr>
          <w:rFonts w:ascii="arial narrow" w:hAnsi="arial narrow"/>
          <w:b/>
          <w:color w:val="auto"/>
          <w:sz w:val="16"/>
          <w:szCs w:val="16"/>
          <w:lang w:val="sk-SK" w:eastAsia="en-US" w:bidi="ar-SA"/>
        </w:rPr>
        <w:t xml:space="preserve"> </w:t>
      </w:r>
    </w:p>
    <w:p>
      <w:pPr>
        <w:pStyle w:val="Telotextu"/>
        <w:spacing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Kuiva seos toimitetaan paperipusseissa kalvolla peitetyillä lavoilla.</w:t>
      </w:r>
    </w:p>
    <w:p>
      <w:pPr>
        <w:pStyle w:val="Normal"/>
        <w:shd w:val="clear" w:color="auto" w:fill="808080" w:themeFill="background1" w:themeFillShade="80"/>
        <w:spacing w:before="160" w:after="160"/>
        <w:rPr>
          <w:rFonts w:ascii="arial narrow" w:hAnsi="arial narrow"/>
          <w:sz w:val="16"/>
          <w:szCs w:val="16"/>
        </w:rPr>
      </w:pPr>
      <w:r>
        <w:rPr>
          <w:rFonts w:ascii="arial narrow" w:hAnsi="arial narrow"/>
          <w:b/>
          <w:color w:val="FFFFFF" w:themeColor="background1"/>
          <w:sz w:val="18"/>
          <w:szCs w:val="18"/>
          <w:lang w:val="sk-SK" w:eastAsia="en-US" w:bidi="ar-SA"/>
        </w:rPr>
        <w:t>Valmistettu</w:t>
      </w:r>
      <w:r>
        <w:rPr>
          <w:rFonts w:ascii="arial narrow" w:hAnsi="arial narrow"/>
          <w:b/>
          <w:color w:val="auto"/>
          <w:sz w:val="16"/>
          <w:szCs w:val="16"/>
          <w:lang w:val="sk-SK" w:eastAsia="en-US" w:bidi="ar-SA"/>
        </w:rPr>
        <w:t xml:space="preserve"> </w:t>
      </w:r>
    </w:p>
    <w:p>
      <w:pPr>
        <w:pStyle w:val="Telotextu"/>
        <w:spacing w:lineRule="auto" w:line="240"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EU:ssa SICC Coatings GmbH:lle</w:t>
      </w:r>
      <w:bookmarkStart w:id="0" w:name="_GoBack"/>
      <w:bookmarkEnd w:id="0"/>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Voimassaolo</w:t>
      </w:r>
    </w:p>
    <w:p>
      <w:pPr>
        <w:pStyle w:val="Telotextu"/>
        <w:spacing w:before="0" w:after="80"/>
        <w:ind w:left="0" w:right="57" w:hanging="0"/>
        <w:rPr>
          <w:rFonts w:ascii="arial narrow" w:hAnsi="arial narrow"/>
          <w:sz w:val="16"/>
          <w:szCs w:val="16"/>
        </w:rPr>
      </w:pPr>
      <w:r>
        <w:rPr>
          <w:rFonts w:ascii="arial narrow" w:hAnsi="arial narrow"/>
          <w:color w:val="auto"/>
          <w:spacing w:val="-1"/>
          <w:sz w:val="16"/>
          <w:szCs w:val="16"/>
          <w:lang w:val="sk-SK" w:eastAsia="en-US" w:bidi="ar-SA"/>
        </w:rPr>
        <w:t>1.6.2020 alkaen</w:t>
      </w:r>
    </w:p>
    <w:p>
      <w:pPr>
        <w:pStyle w:val="Telotextu"/>
        <w:spacing w:before="0" w:after="80"/>
        <w:ind w:left="0" w:right="57" w:hanging="0"/>
        <w:rPr>
          <w:rFonts w:ascii="arial narrow" w:hAnsi="arial narrow"/>
          <w:sz w:val="16"/>
          <w:szCs w:val="16"/>
        </w:rPr>
      </w:pPr>
      <w:r>
        <w:rPr>
          <w:rFonts w:ascii="arial narrow" w:hAnsi="arial narrow"/>
          <w:color w:val="auto"/>
          <w:spacing w:val="-1"/>
          <w:sz w:val="16"/>
          <w:szCs w:val="16"/>
          <w:lang w:val="sk-SK" w:eastAsia="en-US" w:bidi="ar-SA"/>
        </w:rPr>
        <w:t>Koska tuotteen käyttö ja käsittely ei ole suoran vaikutuksen alainen, emme ole vastuussa vahingoista, jotka aiheutuvat sen virheellisestä käytöstä. Pidätämme oikeuden muutoksiin teknisen kehityksen vuoksi.</w:t>
      </w:r>
    </w:p>
    <w:p>
      <w:pPr>
        <w:pStyle w:val="Telotextu"/>
        <w:spacing w:before="0" w:after="80"/>
        <w:ind w:left="0" w:right="57" w:hanging="0"/>
        <w:rPr>
          <w:rFonts w:ascii="arial narrow" w:hAnsi="arial narrow"/>
          <w:spacing w:val="-1"/>
          <w:sz w:val="16"/>
          <w:szCs w:val="16"/>
          <w:lang w:val="sk-SK" w:eastAsia="en-US" w:bidi="ar-SA"/>
        </w:rPr>
      </w:pPr>
      <w:r>
        <w:rPr>
          <w:rFonts w:ascii="arial narrow" w:hAnsi="arial narrow"/>
          <w:spacing w:val="-1"/>
          <w:sz w:val="16"/>
          <w:szCs w:val="16"/>
          <w:lang w:val="sk-SK" w:eastAsia="en-US" w:bidi="ar-SA"/>
        </w:rPr>
      </w:r>
    </w:p>
    <w:p>
      <w:pPr>
        <w:pStyle w:val="Telotextu"/>
        <w:spacing w:before="0" w:after="80"/>
        <w:ind w:left="0" w:right="57" w:hanging="0"/>
        <w:rPr>
          <w:rFonts w:ascii="arial narrow" w:hAnsi="arial narrow"/>
          <w:sz w:val="16"/>
          <w:szCs w:val="16"/>
        </w:rPr>
      </w:pPr>
      <w:r>
        <w:rPr>
          <w:rFonts w:ascii="arial narrow" w:hAnsi="arial narrow"/>
          <w:sz w:val="16"/>
          <w:szCs w:val="16"/>
        </w:rPr>
      </w:r>
    </w:p>
    <w:p>
      <w:pPr>
        <w:sectPr>
          <w:headerReference w:type="default" r:id="rId4"/>
          <w:footerReference w:type="default" r:id="rId5"/>
          <w:type w:val="nextPage"/>
          <w:pgSz w:w="11906" w:h="16838"/>
          <w:pgMar w:left="1021" w:right="1021" w:gutter="0" w:header="1418" w:top="1701" w:footer="851" w:bottom="1311"/>
          <w:pgNumType w:fmt="decimal"/>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1418" w:top="1701" w:footer="851" w:bottom="131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1"/>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Zpat1"/>
      <w:shd w:val="clear" w:color="auto" w:fill="3B3838" w:themeFill="background2" w:themeFillShade="40"/>
      <w:jc w:val="right"/>
      <w:rPr/>
    </w:pPr>
    <w:r>
      <w:rPr>
        <w:rFonts w:cs="Arial" w:ascii="Arial Narrow" w:hAnsi="Arial Narrow"/>
        <w:color w:val="F2F2F2" w:themeColor="background1" w:themeShade="f2"/>
        <w:sz w:val="20"/>
        <w:szCs w:val="20"/>
      </w:rPr>
      <w:t>TM IsoTex F50 | Osasto 01.06.2020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1"/>
      <w:rPr>
        <w:rFonts w:ascii="Arial Narrow" w:hAnsi="Arial Narrow" w:cs="Arial"/>
        <w:b/>
        <w:b/>
        <w:sz w:val="24"/>
        <w:szCs w:val="24"/>
      </w:rPr>
    </w:pPr>
    <w:r>
      <w:rPr/>
      <w:drawing>
        <wp:inline distT="0" distB="0" distL="0" distR="0">
          <wp:extent cx="6263640" cy="1043940"/>
          <wp:effectExtent l="0" t="0" r="0" b="0"/>
          <wp:docPr id="3"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1"/>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1"/>
      <w:rPr/>
    </w:pPr>
    <w:r>
      <w:rPr>
        <w:rFonts w:cs="Arial" w:ascii="Arial Narrow" w:hAnsi="Arial Narrow"/>
        <w:b/>
        <w:color w:val="262626" w:themeColor="text1" w:themeTint="d9"/>
        <w:sz w:val="24"/>
        <w:szCs w:val="24"/>
      </w:rPr>
      <w:t>Tekninen esite:</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F50</w:t>
    </w:r>
  </w:p>
  <w:p>
    <w:pPr>
      <w:pStyle w:val="Zhlav1"/>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i-FI"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611b0"/>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i-FI"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Zhlav1"/>
    <w:uiPriority w:val="99"/>
    <w:qFormat/>
    <w:rsid w:val="00236d9d"/>
    <w:rPr/>
  </w:style>
  <w:style w:type="character" w:styleId="FuzeileZchn" w:customStyle="1">
    <w:name w:val="Fußzeile Zchn"/>
    <w:basedOn w:val="DefaultParagraphFont"/>
    <w:link w:val="Zpat1"/>
    <w:uiPriority w:val="99"/>
    <w:qFormat/>
    <w:rsid w:val="00236d9d"/>
    <w:rPr/>
  </w:style>
  <w:style w:type="character" w:styleId="ZkladntextChar" w:customStyle="1">
    <w:name w:val="Základní text Char"/>
    <w:basedOn w:val="DefaultParagraphFont"/>
    <w:uiPriority w:val="1"/>
    <w:qFormat/>
    <w:rsid w:val="00236d9d"/>
    <w:rPr>
      <w:rFonts w:ascii="Arial Narrow" w:hAnsi="Arial Narrow" w:eastAsia="Arial Narrow"/>
      <w:sz w:val="16"/>
      <w:szCs w:val="16"/>
      <w:lang w:val="fi-FI"/>
    </w:rPr>
  </w:style>
  <w:style w:type="character" w:styleId="Internetovodkaz" w:customStyle="1">
    <w:name w:val="Internetový odkaz"/>
    <w:basedOn w:val="DefaultParagraphFont"/>
    <w:uiPriority w:val="99"/>
    <w:unhideWhenUsed/>
    <w:rsid w:val="005e1672"/>
    <w:rPr>
      <w:color w:val="0563C1" w:themeColor="hyperlink"/>
      <w:u w:val="single"/>
    </w:rPr>
  </w:style>
  <w:style w:type="character" w:styleId="Nevyeenzmnka1" w:customStyle="1">
    <w:name w:val="Nevyřešená zmínka1"/>
    <w:basedOn w:val="DefaultParagraphFont"/>
    <w:uiPriority w:val="99"/>
    <w:semiHidden/>
    <w:unhideWhenUsed/>
    <w:qFormat/>
    <w:rsid w:val="005e1672"/>
    <w:rPr>
      <w:color w:val="808080"/>
      <w:shd w:fill="E6E6E6" w:val="clear"/>
    </w:rPr>
  </w:style>
  <w:style w:type="character" w:styleId="TextbublinyChar" w:customStyle="1">
    <w:name w:val="Text bubliny Char"/>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customStyle="1">
    <w:name w:val="Odrážky"/>
    <w:qFormat/>
    <w:rsid w:val="003611b0"/>
    <w:rPr>
      <w:rFonts w:ascii="OpenSymbol" w:hAnsi="OpenSymbol" w:eastAsia="OpenSymbol" w:cs="OpenSymbol"/>
    </w:rPr>
  </w:style>
  <w:style w:type="character" w:styleId="ZhlavChar" w:customStyle="1">
    <w:name w:val="Záhlaví Char"/>
    <w:basedOn w:val="DefaultParagraphFont"/>
    <w:uiPriority w:val="99"/>
    <w:qFormat/>
    <w:rsid w:val="009c4ab2"/>
    <w:rPr/>
  </w:style>
  <w:style w:type="character" w:styleId="ZpatChar" w:customStyle="1">
    <w:name w:val="Zápatí Char"/>
    <w:basedOn w:val="DefaultParagraphFont"/>
    <w:uiPriority w:val="99"/>
    <w:qFormat/>
    <w:rsid w:val="009c4ab2"/>
    <w:rPr/>
  </w:style>
  <w:style w:type="paragraph" w:styleId="Nadpis" w:customStyle="1">
    <w:name w:val="Nadpis"/>
    <w:basedOn w:val="Normal"/>
    <w:next w:val="Telotextu"/>
    <w:qFormat/>
    <w:rsid w:val="003611b0"/>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uiPriority w:val="1"/>
    <w:qFormat/>
    <w:rsid w:val="00236d9d"/>
    <w:pPr>
      <w:widowControl w:val="false"/>
      <w:spacing w:lineRule="auto" w:line="240" w:before="0" w:after="0"/>
      <w:ind w:left="125" w:hanging="0"/>
    </w:pPr>
    <w:rPr>
      <w:rFonts w:ascii="Arial Narrow" w:hAnsi="Arial Narrow" w:eastAsia="Arial Narrow"/>
      <w:sz w:val="16"/>
      <w:szCs w:val="16"/>
      <w:lang w:val="fi-FI"/>
    </w:rPr>
  </w:style>
  <w:style w:type="paragraph" w:styleId="Zoznam">
    <w:name w:val="List"/>
    <w:basedOn w:val="Telotextu"/>
    <w:rsid w:val="003611b0"/>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3611b0"/>
    <w:pPr>
      <w:suppressLineNumbers/>
    </w:pPr>
    <w:rPr>
      <w:rFonts w:cs="Lohit Devanagari"/>
    </w:rPr>
  </w:style>
  <w:style w:type="paragraph" w:styleId="Titulek1" w:customStyle="1">
    <w:name w:val="Titulek1"/>
    <w:basedOn w:val="Normal"/>
    <w:qFormat/>
    <w:rsid w:val="003611b0"/>
    <w:pPr>
      <w:suppressLineNumbers/>
      <w:spacing w:before="120" w:after="120"/>
    </w:pPr>
    <w:rPr>
      <w:rFonts w:cs="Lohit Devanagari"/>
      <w:i/>
      <w:iCs/>
      <w:sz w:val="24"/>
      <w:szCs w:val="24"/>
    </w:rPr>
  </w:style>
  <w:style w:type="paragraph" w:styleId="Zhlav1" w:customStyle="1">
    <w:name w:val="Záhlaví1"/>
    <w:basedOn w:val="Normal"/>
    <w:link w:val="KopfzeileZchn"/>
    <w:uiPriority w:val="99"/>
    <w:unhideWhenUsed/>
    <w:qFormat/>
    <w:rsid w:val="00236d9d"/>
    <w:pPr>
      <w:tabs>
        <w:tab w:val="clear" w:pos="708"/>
        <w:tab w:val="center" w:pos="4536" w:leader="none"/>
        <w:tab w:val="right" w:pos="9072" w:leader="none"/>
      </w:tabs>
      <w:spacing w:lineRule="auto" w:line="240" w:before="0" w:after="0"/>
    </w:pPr>
    <w:rPr/>
  </w:style>
  <w:style w:type="paragraph" w:styleId="Zpat1" w:customStyle="1">
    <w:name w:val="Zápatí1"/>
    <w:basedOn w:val="Normal"/>
    <w:link w:val="FuzeileZchn"/>
    <w:uiPriority w:val="99"/>
    <w:unhideWhenUsed/>
    <w:qFormat/>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c913e4"/>
    <w:pPr>
      <w:spacing w:lineRule="auto" w:line="240" w:before="0" w:after="0"/>
    </w:pPr>
    <w:rPr>
      <w:rFonts w:ascii="Segoe UI" w:hAnsi="Segoe UI" w:cs="Segoe UI"/>
      <w:sz w:val="18"/>
      <w:szCs w:val="18"/>
    </w:rPr>
  </w:style>
  <w:style w:type="paragraph" w:styleId="Obsahtabuky" w:customStyle="1">
    <w:name w:val="Obsah tabuľky"/>
    <w:basedOn w:val="Normal"/>
    <w:qFormat/>
    <w:rsid w:val="003611b0"/>
    <w:pPr>
      <w:suppressLineNumbers/>
    </w:pPr>
    <w:rPr/>
  </w:style>
  <w:style w:type="paragraph" w:styleId="Nadpistabuky" w:customStyle="1">
    <w:name w:val="Nadpis tabuľky"/>
    <w:basedOn w:val="Obsahtabuky"/>
    <w:qFormat/>
    <w:rsid w:val="003611b0"/>
    <w:pPr>
      <w:jc w:val="center"/>
    </w:pPr>
    <w:rPr>
      <w:b/>
      <w:bCs/>
    </w:rPr>
  </w:style>
  <w:style w:type="paragraph" w:styleId="ListParagraph">
    <w:name w:val="List Paragraph"/>
    <w:basedOn w:val="Normal"/>
    <w:qFormat/>
    <w:rsid w:val="003611b0"/>
    <w:pPr>
      <w:spacing w:lineRule="auto" w:line="240" w:before="0" w:after="200"/>
      <w:ind w:left="720" w:hanging="0"/>
      <w:contextualSpacing/>
    </w:pPr>
    <w:rPr>
      <w:rFonts w:ascii="Calibri" w:hAnsi="Calibri" w:eastAsia="Calibri" w:cs="Times New Roman"/>
      <w:lang w:val="fi-FI"/>
    </w:rPr>
  </w:style>
  <w:style w:type="paragraph" w:styleId="Hlavikaapta">
    <w:name w:val="Hlavička a päta"/>
    <w:basedOn w:val="Normal"/>
    <w:qFormat/>
    <w:pPr/>
    <w:rPr/>
  </w:style>
  <w:style w:type="paragraph" w:styleId="Zhlavie">
    <w:name w:val="Header"/>
    <w:basedOn w:val="Normal"/>
    <w:link w:val="ZhlavChar"/>
    <w:uiPriority w:val="99"/>
    <w:unhideWhenUsed/>
    <w:rsid w:val="009c4ab2"/>
    <w:pPr>
      <w:tabs>
        <w:tab w:val="clear" w:pos="708"/>
        <w:tab w:val="center" w:pos="4536" w:leader="none"/>
        <w:tab w:val="right" w:pos="9072" w:leader="none"/>
      </w:tabs>
      <w:spacing w:lineRule="auto" w:line="240" w:before="0" w:after="0"/>
    </w:pPr>
    <w:rPr/>
  </w:style>
  <w:style w:type="paragraph" w:styleId="Pta">
    <w:name w:val="Footer"/>
    <w:basedOn w:val="Normal"/>
    <w:link w:val="ZpatChar"/>
    <w:uiPriority w:val="99"/>
    <w:unhideWhenUsed/>
    <w:rsid w:val="009c4ab2"/>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9c4ab2"/>
    <w:rPr>
      <w:lang w:val="f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1878-D87A-425E-9D30-BD277078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Application>LibreOffice/7.3.7.2$Linux_X86_64 LibreOffice_project/30$Build-2</Application>
  <AppVersion>15.0000</AppVersion>
  <Pages>2</Pages>
  <Words>653</Words>
  <Characters>4866</Characters>
  <CharactersWithSpaces>5454</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2021-07-29T06:57:00Z</dcterms:created>
  <dc:creator>Sprenger</dc:creator>
  <dc:description/>
  <dc:language>sk-SK</dc:language>
  <cp:lastModifiedBy/>
  <cp:lastPrinted>2019-10-31T10:14:00Z</cp:lastPrinted>
  <dcterms:modified xsi:type="dcterms:W3CDTF">2025-06-13T11:29:02Z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