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El estuco ligero F-50 </w:t>
      </w:r>
      <w:r>
        <w:rPr>
          <w:rFonts w:ascii="arial narrow" w:hAnsi="arial narrow"/>
          <w:color w:val="auto"/>
          <w:sz w:val="16"/>
          <w:szCs w:val="16"/>
          <w:lang w:val="sk-SK" w:eastAsia="en-US" w:bidi="ar-SA"/>
        </w:rPr>
        <w:t>se utiliza como capa de acabado para interior y exterior. Espesor de capa aplicada hasta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Preparación del sustrato:</w:t>
      </w:r>
    </w:p>
    <w:p>
      <w:pPr>
        <w:pStyle w:val="Normal"/>
        <w:rPr>
          <w:rFonts w:ascii="arial narrow" w:hAnsi="arial narrow"/>
          <w:sz w:val="16"/>
          <w:szCs w:val="16"/>
        </w:rPr>
      </w:pPr>
      <w:r>
        <w:rPr>
          <w:rFonts w:ascii="arial narrow" w:hAnsi="arial narrow"/>
          <w:color w:val="auto"/>
          <w:sz w:val="16"/>
          <w:szCs w:val="16"/>
          <w:lang w:val="sk-SK" w:eastAsia="en-US" w:bidi="ar-SA"/>
        </w:rPr>
        <w:t>Aplicamos estuco sobre IsoTex R70. Es el acabado superficial final.</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Recomendaciones generales de uso: </w:t>
      </w:r>
      <w:r>
        <w:rPr>
          <w:rFonts w:ascii="arial narrow" w:hAnsi="arial narrow"/>
          <w:color w:val="auto"/>
          <w:sz w:val="16"/>
          <w:szCs w:val="16"/>
          <w:lang w:val="sk-SK" w:eastAsia="en-US" w:bidi="ar-SA"/>
        </w:rPr>
        <w:t>Trabajar a una temperatura entre +5°C y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¡Importante! </w:t>
      </w:r>
      <w:r>
        <w:rPr>
          <w:rFonts w:ascii="arial narrow" w:hAnsi="arial narrow"/>
          <w:color w:val="auto"/>
          <w:sz w:val="16"/>
          <w:szCs w:val="16"/>
          <w:lang w:val="sk-SK" w:eastAsia="en-US" w:bidi="ar-SA"/>
        </w:rPr>
        <w:t>En verano, no trabajar bajo la luz solar directa. Evitar la lluvia directa sobre el yeso.</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Nota: </w:t>
      </w:r>
      <w:r>
        <w:rPr>
          <w:rFonts w:ascii="arial narrow" w:hAnsi="arial narrow"/>
          <w:color w:val="auto"/>
          <w:sz w:val="16"/>
          <w:szCs w:val="16"/>
          <w:lang w:val="sk-SK" w:eastAsia="en-US" w:bidi="ar-SA"/>
        </w:rPr>
        <w:t>El yeso F-50 contiene cemento y cal, que en combinación con el agua provocan una reacción alcalina, por lo que es necesario proteger los ojos y la piel al trabajar con el yeso. Si el parche le entra en los ojos, enjuáguelos inmediatamente con agua y busque atención médica.</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Preparación de yeso:</w:t>
      </w:r>
    </w:p>
    <w:p>
      <w:pPr>
        <w:pStyle w:val="Normal"/>
        <w:rPr>
          <w:rFonts w:ascii="arial narrow" w:hAnsi="arial narrow"/>
          <w:sz w:val="16"/>
          <w:szCs w:val="16"/>
        </w:rPr>
      </w:pPr>
      <w:r>
        <w:rPr>
          <w:rFonts w:ascii="arial narrow" w:hAnsi="arial narrow"/>
          <w:color w:val="auto"/>
          <w:sz w:val="16"/>
          <w:szCs w:val="16"/>
          <w:lang w:val="sk-SK" w:eastAsia="en-US" w:bidi="ar-SA"/>
        </w:rPr>
        <w:t>Vierta agua limpia a razón de 4,5-5,5 l por saco de 10 kg en un recipiente redondo con fondo plano. Vierta yeso F-50 en el agua.</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¡Importante! </w:t>
      </w:r>
      <w:r>
        <w:rPr>
          <w:rFonts w:ascii="arial narrow" w:hAnsi="arial narrow"/>
          <w:color w:val="auto"/>
          <w:sz w:val="16"/>
          <w:szCs w:val="16"/>
          <w:lang w:val="sk-SK" w:eastAsia="en-US" w:bidi="ar-SA"/>
        </w:rPr>
        <w:t>¡Utilice siempre el paquete completo para procesar! No se permite el consumo parcial del contenido del paquete. Mezclar bien durante 4-5 minutos, con una batidora de obra a velocidad media, hasta obtener una consistencia homogénea y sin grumos. Dejar reposar durante aprox. 5 minutos.</w:t>
      </w:r>
    </w:p>
    <w:p>
      <w:pPr>
        <w:pStyle w:val="Normal"/>
        <w:rPr>
          <w:rFonts w:ascii="arial narrow" w:hAnsi="arial narrow"/>
          <w:sz w:val="16"/>
          <w:szCs w:val="16"/>
        </w:rPr>
      </w:pPr>
      <w:r>
        <w:rPr>
          <w:rFonts w:ascii="arial narrow" w:hAnsi="arial narrow"/>
          <w:color w:val="auto"/>
          <w:sz w:val="16"/>
          <w:szCs w:val="16"/>
          <w:lang w:val="sk-SK" w:eastAsia="en-US" w:bidi="ar-SA"/>
        </w:rPr>
        <w:t>Después de 5 minutos, vuelva a mezclar bien el yeso.</w:t>
      </w:r>
    </w:p>
    <w:p>
      <w:pPr>
        <w:pStyle w:val="Normal"/>
        <w:rPr>
          <w:rFonts w:ascii="arial narrow" w:hAnsi="arial narrow"/>
          <w:sz w:val="16"/>
          <w:szCs w:val="16"/>
        </w:rPr>
      </w:pPr>
      <w:r>
        <w:rPr>
          <w:rFonts w:ascii="arial narrow" w:hAnsi="arial narrow"/>
          <w:color w:val="auto"/>
          <w:sz w:val="16"/>
          <w:szCs w:val="16"/>
          <w:lang w:val="sk-SK" w:eastAsia="en-US" w:bidi="ar-SA"/>
        </w:rPr>
        <w:t>¡¡¡No se permite mezclar en una batidora de gota !!!.</w:t>
      </w:r>
    </w:p>
    <w:p>
      <w:pPr>
        <w:pStyle w:val="Normal"/>
        <w:rPr>
          <w:rFonts w:ascii="arial narrow" w:hAnsi="arial narrow"/>
          <w:sz w:val="16"/>
          <w:szCs w:val="16"/>
        </w:rPr>
      </w:pPr>
      <w:r>
        <w:rPr>
          <w:rFonts w:ascii="arial narrow" w:hAnsi="arial narrow"/>
          <w:color w:val="auto"/>
          <w:sz w:val="16"/>
          <w:szCs w:val="16"/>
          <w:lang w:val="sk-SK" w:eastAsia="en-US" w:bidi="ar-SA"/>
        </w:rPr>
        <w:t>El mortero correctamente mezclado tiene una consistencia homogénea, sin grumos y se adhiere perfectamente a la superficie aplicada.</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Yeso F-50 </w:t>
      </w:r>
      <w:r>
        <w:rPr>
          <w:rFonts w:ascii="arial narrow" w:hAnsi="arial narrow"/>
          <w:color w:val="auto"/>
          <w:sz w:val="16"/>
          <w:szCs w:val="16"/>
          <w:lang w:val="sk-SK" w:eastAsia="en-US" w:bidi="ar-SA"/>
        </w:rPr>
        <w:t>está destinado al procesamiento tanto manual como mecánico. Aplicar yeso con un espesor máximo de 3 mm sobre la base con una superficie de pared uniforme. Para el procesamiento manual, aplicar el yeso a la pared con una llana de acero inoxidable. Después de aplicar la capa, nivelar el yeso con una llana y aproximadamente 20-30 minutos después de la aplicación, nivelar el yeso con movimientos circulares con una llana de plástico para crear una estructura superficial homogénea. La base del yeso debe humedecerse o tratarse con una capa penetrante FixPlus. El yeso debe recubrirse con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Garantía:</w:t>
      </w:r>
    </w:p>
    <w:p>
      <w:pPr>
        <w:pStyle w:val="Normal"/>
        <w:rPr>
          <w:rFonts w:ascii="arial narrow" w:hAnsi="arial narrow"/>
          <w:sz w:val="16"/>
          <w:szCs w:val="16"/>
        </w:rPr>
      </w:pPr>
      <w:r>
        <w:rPr>
          <w:rFonts w:ascii="arial narrow" w:hAnsi="arial narrow"/>
          <w:color w:val="auto"/>
          <w:sz w:val="16"/>
          <w:szCs w:val="16"/>
          <w:lang w:val="sk-SK" w:eastAsia="en-US" w:bidi="ar-SA"/>
        </w:rPr>
        <w:t>El fabricante garantiza la conformidad del yeso F-50 con los parámetros técnicos especificados en esta LT, siempre que se respeten los principios de transporte, almacenamiento, preparación y aplicación del yeso. El fabricante no se responsabiliza del uso incorrecto del mortero y de su utilización para fines y condiciones no especificados en la descripción técnica.</w:t>
      </w:r>
    </w:p>
    <w:p>
      <w:pPr>
        <w:pStyle w:val="Normal"/>
        <w:rPr>
          <w:rFonts w:ascii="arial narrow" w:hAnsi="arial narrow"/>
          <w:sz w:val="16"/>
          <w:szCs w:val="16"/>
        </w:rPr>
      </w:pPr>
      <w:r>
        <w:rPr>
          <w:rFonts w:ascii="arial narrow" w:hAnsi="arial narrow"/>
          <w:color w:val="auto"/>
          <w:sz w:val="16"/>
          <w:szCs w:val="16"/>
          <w:lang w:val="sk-SK" w:eastAsia="en-US" w:bidi="ar-SA"/>
        </w:rPr>
        <w:t>Almacenamiento garantizado en su embalaje original, en palés y en lugar seco: 12 meses a partir de la fecha de producción indicada en el embalaje.</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Parámetros técnicos</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Dosificación de agua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Peso volumétrico del mortero fresco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Peso volumétrico del mortero endurecido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Resistencia a la flexión y a la tracción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Mín.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Resistencia a la compresión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Adherencia al hormigón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Mín.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Clasificación de reacción al fuego.</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Durabilidad</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ciclos</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Consumo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AVISO:</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se aplica al diseño, preparación y ejecución de enlucidos exteriores.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No se permite la adición adicional de aglutinantes, cargas y otros aditivos ni el filtrado de mezclas.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¡¡¡La mezcla sólo se puede procesar a temperaturas del aire y del sustrato de + 5 °C!!! ¡No lo use cuando se esperan heladas!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Para mezclar la mezcla se debe utilizar agua potable o agua conforme a EN1008.</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Eliminación del producto: Depositar los embalajes usados en un vertedero autorizado. Deje que el material no utilizado se endurezca y deposítelo en un vertedero municipal. Elaboración propia - código de residuo 101311 Residuos de otros materiales mixtos no enumerados en los números 101309 y 101310. Masa endurecida - código de residuo 170904 Residuos mixtos de construcción y demolición no enumerados en los números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Primeros auxilios</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caso de problemas de salud o en caso de duda, informar al médico.</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caso de inhalación, trasladar a la víctima al aire libre, en caso de problemas respiratorios solicitar ayuda médica.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caso de contacto con la piel, lavar la piel con agua limpia y jabón. Trate las zonas irritadas con crema reparadora.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caso de contacto con los ojos, lavar inmediatamente los párpados abiertos con un chorro de agua limpia durante 15 min. y luego buscar atención médica.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caso de ingestión, enjuáguese la boca con agua, beba 0,5 litros de agua y busque ayuda médica. No induzca el vomito.</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El producto puede provocar una reacción alérgica en contacto con la piel. Si los síntomas de cualquier impacto (irritación) causado por el contacto con el producto no desaparecen luego de brindar los primeros auxilios, busque atención médica.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¡Guardar fuera del alcance de los niños!</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Normas de seguridad e higiene.</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Símbolo de advertencia: irritante Xi</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Irrita las vías respiratorias y la piel.</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Riesgo de lesiones oculares graves.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Posibilidad de sensibilización en contacto con la piel.</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Mantener fuera del alcance de los niños.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No respirar el polvo.</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Evite el contacto con la piel.</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Evitar el contacto con los ojos.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En caso de contacto con los ojos, lavar inmediatamente con abundante agua y consultar a un médico.</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Úsese indumentaria protectora adecuada, guantes protectores y gafas de seguridad o una máscara facial.</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En caso de ingestión, acúdase inmediatamente al médico y muéstrele este envase o etiqueta.</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Almacenamiento</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Guarde el producto en un lugar seco en el embalaje original; protéjalo de daños, exposición al agua y alta humedad relativa. Si se cumplen las condiciones indicadas, la vida útil es de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meses a partir de la fecha marcada en el embalaje.</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Expedición</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La mezcla seca se entrega en bolsas de papel sobre palés cubiertos con papel de aluminio.</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Hecho</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en la UE para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Validez</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Desde el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Dado que el uso y procesamiento del producto no está sujeto a nuestra influencia directa, no somos responsables de los daños causados por su uso incorrecto. Nos reservamos el derecho a realizar cambios como resultado del progreso técnico.</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Stand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Hoja técnica:</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es-ES"/>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es-ES"/>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es-ES"/>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989</Words>
  <Characters>5058</Characters>
  <CharactersWithSpaces>5982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2025-06-13T11:28:52Z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