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sz w:val="16"/>
          <w:szCs w:val="16"/>
        </w:rPr>
      </w:pPr>
      <w:r>
        <w:rPr>
          <w:rFonts w:ascii="arial narrow" w:hAnsi="arial narrow"/>
          <w:b/>
          <w:bCs/>
          <w:color w:val="auto"/>
          <w:sz w:val="16"/>
          <w:szCs w:val="16"/>
          <w:lang w:val="sk-SK" w:eastAsia="en-US" w:bidi="ar-SA"/>
        </w:rPr>
        <w:t xml:space="preserve">Lys stukpuds F-50 </w:t>
      </w:r>
      <w:r>
        <w:rPr>
          <w:rFonts w:ascii="arial narrow" w:hAnsi="arial narrow"/>
          <w:color w:val="auto"/>
          <w:sz w:val="16"/>
          <w:szCs w:val="16"/>
          <w:lang w:val="sk-SK" w:eastAsia="en-US" w:bidi="ar-SA"/>
        </w:rPr>
        <w:t>anvendes som afslutningslag til indvendig og udvendig. Påført lagtykkelse op til 3 mm.</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Forberedelse af underlaget:</w:t>
      </w:r>
    </w:p>
    <w:p>
      <w:pPr>
        <w:pStyle w:val="Normal"/>
        <w:rPr>
          <w:rFonts w:ascii="arial narrow" w:hAnsi="arial narrow"/>
          <w:sz w:val="16"/>
          <w:szCs w:val="16"/>
        </w:rPr>
      </w:pPr>
      <w:r>
        <w:rPr>
          <w:rFonts w:ascii="arial narrow" w:hAnsi="arial narrow"/>
          <w:color w:val="auto"/>
          <w:sz w:val="16"/>
          <w:szCs w:val="16"/>
          <w:lang w:val="sk-SK" w:eastAsia="en-US" w:bidi="ar-SA"/>
        </w:rPr>
        <w:t>Vi påfører stuk på IsoTex R70. Det er den endelige overfladefinish.</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Generelle anbefalinger til brug: </w:t>
      </w:r>
      <w:r>
        <w:rPr>
          <w:rFonts w:ascii="arial narrow" w:hAnsi="arial narrow"/>
          <w:color w:val="auto"/>
          <w:sz w:val="16"/>
          <w:szCs w:val="16"/>
          <w:lang w:val="sk-SK" w:eastAsia="en-US" w:bidi="ar-SA"/>
        </w:rPr>
        <w:t>Arbejd ved en temperatur mellem +5°C og +25°C.</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Vigtig! </w:t>
      </w:r>
      <w:r>
        <w:rPr>
          <w:rFonts w:ascii="arial narrow" w:hAnsi="arial narrow"/>
          <w:color w:val="auto"/>
          <w:sz w:val="16"/>
          <w:szCs w:val="16"/>
          <w:lang w:val="sk-SK" w:eastAsia="en-US" w:bidi="ar-SA"/>
        </w:rPr>
        <w:t>Om sommeren må du ikke arbejde i direkte sollys. Undgå direkte regn på gipsen.</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Bemærk: </w:t>
      </w:r>
      <w:r>
        <w:rPr>
          <w:rFonts w:ascii="arial narrow" w:hAnsi="arial narrow"/>
          <w:color w:val="auto"/>
          <w:sz w:val="16"/>
          <w:szCs w:val="16"/>
          <w:lang w:val="sk-SK" w:eastAsia="en-US" w:bidi="ar-SA"/>
        </w:rPr>
        <w:t>F-50 gips indeholder cement og kalk, som i kombination med vand forårsager en alkalisk reaktion, så det er nødvendigt at beskytte øjne og hud, når der arbejdes med gipsen. Hvis du får plasteret i øjnene, skal du straks skylle dem med vand og søge læge.</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Forberedelse af gips:</w:t>
      </w:r>
    </w:p>
    <w:p>
      <w:pPr>
        <w:pStyle w:val="Normal"/>
        <w:rPr>
          <w:rFonts w:ascii="arial narrow" w:hAnsi="arial narrow"/>
          <w:sz w:val="16"/>
          <w:szCs w:val="16"/>
        </w:rPr>
      </w:pPr>
      <w:r>
        <w:rPr>
          <w:rFonts w:ascii="arial narrow" w:hAnsi="arial narrow"/>
          <w:color w:val="auto"/>
          <w:sz w:val="16"/>
          <w:szCs w:val="16"/>
          <w:lang w:val="sk-SK" w:eastAsia="en-US" w:bidi="ar-SA"/>
        </w:rPr>
        <w:t>Hæld rent vand i en mængde på 4,5-5,5 l pr. 10 kg pose i en rund tank med flad bund. Hæld F-50 gips i vandet.</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Vigtig! </w:t>
      </w:r>
      <w:r>
        <w:rPr>
          <w:rFonts w:ascii="arial narrow" w:hAnsi="arial narrow"/>
          <w:color w:val="auto"/>
          <w:sz w:val="16"/>
          <w:szCs w:val="16"/>
          <w:lang w:val="sk-SK" w:eastAsia="en-US" w:bidi="ar-SA"/>
        </w:rPr>
        <w:t>Brug altid hele pakken til forarbejdning! Delvis forbrug af pakkens indhold er ikke tilladt. Bland grundigt i 4-5 minutter med en konstruktionsblander ved middel hastighed for at opnå en homogen konsistens uden klumper. Lad stå i ca 5 minutter.</w:t>
      </w:r>
    </w:p>
    <w:p>
      <w:pPr>
        <w:pStyle w:val="Normal"/>
        <w:rPr>
          <w:rFonts w:ascii="arial narrow" w:hAnsi="arial narrow"/>
          <w:sz w:val="16"/>
          <w:szCs w:val="16"/>
        </w:rPr>
      </w:pPr>
      <w:r>
        <w:rPr>
          <w:rFonts w:ascii="arial narrow" w:hAnsi="arial narrow"/>
          <w:color w:val="auto"/>
          <w:sz w:val="16"/>
          <w:szCs w:val="16"/>
          <w:lang w:val="sk-SK" w:eastAsia="en-US" w:bidi="ar-SA"/>
        </w:rPr>
        <w:t>Efter 5 minutter blandes gipsen grundigt igen.</w:t>
      </w:r>
    </w:p>
    <w:p>
      <w:pPr>
        <w:pStyle w:val="Normal"/>
        <w:rPr>
          <w:rFonts w:ascii="arial narrow" w:hAnsi="arial narrow"/>
          <w:sz w:val="16"/>
          <w:szCs w:val="16"/>
        </w:rPr>
      </w:pPr>
      <w:r>
        <w:rPr>
          <w:rFonts w:ascii="arial narrow" w:hAnsi="arial narrow"/>
          <w:color w:val="auto"/>
          <w:sz w:val="16"/>
          <w:szCs w:val="16"/>
          <w:lang w:val="sk-SK" w:eastAsia="en-US" w:bidi="ar-SA"/>
        </w:rPr>
        <w:t>Blanding i en dråbeblander er ikke tilladt !!!.</w:t>
      </w:r>
    </w:p>
    <w:p>
      <w:pPr>
        <w:pStyle w:val="Normal"/>
        <w:rPr>
          <w:rFonts w:ascii="arial narrow" w:hAnsi="arial narrow"/>
          <w:sz w:val="16"/>
          <w:szCs w:val="16"/>
        </w:rPr>
      </w:pPr>
      <w:r>
        <w:rPr>
          <w:rFonts w:ascii="arial narrow" w:hAnsi="arial narrow"/>
          <w:color w:val="auto"/>
          <w:sz w:val="16"/>
          <w:szCs w:val="16"/>
          <w:lang w:val="sk-SK" w:eastAsia="en-US" w:bidi="ar-SA"/>
        </w:rPr>
        <w:t>Korrekt blandet mørtel har en homogen konsistens uden klumper og klæber perfekt til den påførte overflade.</w:t>
      </w:r>
    </w:p>
    <w:p>
      <w:pPr>
        <w:pStyle w:val="Normal"/>
        <w:rPr>
          <w:rFonts w:ascii="arial narrow" w:hAnsi="arial narrow"/>
          <w:sz w:val="16"/>
          <w:szCs w:val="16"/>
        </w:rPr>
      </w:pPr>
      <w:r>
        <w:rPr>
          <w:rFonts w:ascii="arial narrow" w:hAnsi="arial narrow"/>
          <w:b/>
          <w:bCs/>
          <w:color w:val="auto"/>
          <w:sz w:val="16"/>
          <w:szCs w:val="16"/>
          <w:lang w:val="sk-SK" w:eastAsia="en-US" w:bidi="ar-SA"/>
        </w:rPr>
        <w:t xml:space="preserve">Gips F-50 </w:t>
      </w:r>
      <w:r>
        <w:rPr>
          <w:rFonts w:ascii="arial narrow" w:hAnsi="arial narrow"/>
          <w:color w:val="auto"/>
          <w:sz w:val="16"/>
          <w:szCs w:val="16"/>
          <w:lang w:val="sk-SK" w:eastAsia="en-US" w:bidi="ar-SA"/>
        </w:rPr>
        <w:t>er beregnet til både manuel og maskinel bearbejdning. Påfør puds med en maksimal tykkelse på 3 mm på underlaget med en jævn vægflade. Ved manuel bearbejdning påføres gipsen på væggen med en rustfri stålspartel. Efter påføring af laget udjævnes pudsen med en spartel og ca. 20-30 minutter efter påføring afrettes pudsen med cirkulære bevægelser med en plastspartel for at skabe en homogen overfladestruktur. Pudsens bund skal fugtes eller behandles med FixPlus penetrerende belægning. Pudsen skal belægges med ClimateCoating.</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Garanti:</w:t>
      </w:r>
    </w:p>
    <w:p>
      <w:pPr>
        <w:pStyle w:val="Normal"/>
        <w:rPr>
          <w:rFonts w:ascii="arial narrow" w:hAnsi="arial narrow"/>
          <w:sz w:val="16"/>
          <w:szCs w:val="16"/>
        </w:rPr>
      </w:pPr>
      <w:r>
        <w:rPr>
          <w:rFonts w:ascii="arial narrow" w:hAnsi="arial narrow"/>
          <w:color w:val="auto"/>
          <w:sz w:val="16"/>
          <w:szCs w:val="16"/>
          <w:lang w:val="sk-SK" w:eastAsia="en-US" w:bidi="ar-SA"/>
        </w:rPr>
        <w:t>Producenten garanterer, at F-50 gipset er i overensstemmelse med de tekniske parametre, der er specificeret i denne TL, forudsat at principperne for transport, opbevaring, klargøring og påføring af gipset overholdes. Producenten er ikke ansvarlig for forkert brug af mørtlen og for dens anvendelse til formål og forhold, der ikke er specificeret i den tekniske beskrivelse.</w:t>
      </w:r>
    </w:p>
    <w:p>
      <w:pPr>
        <w:pStyle w:val="Normal"/>
        <w:rPr>
          <w:rFonts w:ascii="arial narrow" w:hAnsi="arial narrow"/>
          <w:sz w:val="16"/>
          <w:szCs w:val="16"/>
        </w:rPr>
      </w:pPr>
      <w:r>
        <w:rPr>
          <w:rFonts w:ascii="arial narrow" w:hAnsi="arial narrow"/>
          <w:color w:val="auto"/>
          <w:sz w:val="16"/>
          <w:szCs w:val="16"/>
          <w:lang w:val="sk-SK" w:eastAsia="en-US" w:bidi="ar-SA"/>
        </w:rPr>
        <w:t>Garanteret opbevaring i original emballage, på paller og i tørt rum - 12 måneder fra produktionsdatoen på emballagen.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Tekniske parametre</w:t>
      </w:r>
    </w:p>
    <w:tbl>
      <w:tblPr>
        <w:tblStyle w:val="Mkatabulky"/>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1687"/>
        <w:gridCol w:w="1412"/>
      </w:tblGrid>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Vanddosering W/F</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0,50-0,55</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Volumetrisk vægt af frisk mørtel (kg/m3)</w:t>
            </w:r>
          </w:p>
        </w:tc>
        <w:tc>
          <w:tcPr>
            <w:tcW w:w="1412" w:type="dxa"/>
            <w:tcBorders/>
            <w:shd w:fill="auto" w:val="clear"/>
          </w:tcPr>
          <w:p>
            <w:pPr>
              <w:pStyle w:val="Normal"/>
              <w:widowControl w:val="false"/>
              <w:spacing w:before="0" w:after="160"/>
              <w:rPr>
                <w:rFonts w:ascii="arial narrow" w:hAnsi="arial narrow"/>
                <w:sz w:val="16"/>
                <w:szCs w:val="16"/>
              </w:rPr>
            </w:pPr>
            <w:r>
              <w:rPr>
                <w:rFonts w:cs="Calibri" w:ascii="arial narrow" w:hAnsi="arial narrow" w:cstheme="minorHAnsi"/>
                <w:color w:val="auto"/>
                <w:sz w:val="16"/>
                <w:szCs w:val="16"/>
                <w:lang w:val="sk-SK" w:eastAsia="en-US" w:bidi="ar-SA"/>
              </w:rPr>
              <w:t xml:space="preserve">≤ </w:t>
            </w:r>
            <w:r>
              <w:rPr>
                <w:rFonts w:ascii="arial narrow" w:hAnsi="arial narrow"/>
                <w:color w:val="auto"/>
                <w:sz w:val="16"/>
                <w:szCs w:val="16"/>
                <w:lang w:val="sk-SK" w:eastAsia="en-US" w:bidi="ar-SA"/>
              </w:rPr>
              <w:t>1.050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Volumetrisk vægt af hærdet mørtel (kg/m3)</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550</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Bøjningstrækstyrke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0,8</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Trykstyrke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CS II</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Vedhæftning til beton (MPa)</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Min. 0,4</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Klassificering af reaktion på brand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A1</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Holdbarhed</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15 cyklusser</w:t>
            </w:r>
          </w:p>
        </w:tc>
      </w:tr>
      <w:tr>
        <w:trPr/>
        <w:tc>
          <w:tcPr>
            <w:tcW w:w="1687"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Forbrug kg/m2/1 mm (kg)</w:t>
            </w:r>
          </w:p>
        </w:tc>
        <w:tc>
          <w:tcPr>
            <w:tcW w:w="1412" w:type="dxa"/>
            <w:tcBorders/>
            <w:shd w:fill="auto" w:val="clear"/>
          </w:tcPr>
          <w:p>
            <w:pPr>
              <w:pStyle w:val="Normal"/>
              <w:widowControl w:val="false"/>
              <w:spacing w:before="0" w:after="160"/>
              <w:rPr>
                <w:rFonts w:ascii="arial narrow" w:hAnsi="arial narrow"/>
                <w:sz w:val="16"/>
                <w:szCs w:val="16"/>
              </w:rPr>
            </w:pPr>
            <w:r>
              <w:rPr>
                <w:rFonts w:ascii="arial narrow" w:hAnsi="arial narrow"/>
                <w:color w:val="auto"/>
                <w:sz w:val="16"/>
                <w:szCs w:val="16"/>
                <w:lang w:val="sk-SK" w:eastAsia="en-US" w:bidi="ar-SA"/>
              </w:rPr>
              <w:t>0,65</w:t>
            </w:r>
          </w:p>
        </w:tc>
      </w:tr>
    </w:tbl>
    <w:p>
      <w:pPr>
        <w:pStyle w:val="Normal"/>
        <w:rPr>
          <w:rFonts w:ascii="arial narrow" w:hAnsi="arial narrow"/>
          <w:color w:val="auto"/>
          <w:sz w:val="16"/>
          <w:szCs w:val="16"/>
          <w:lang w:val="sk-SK" w:eastAsia="en-US" w:bidi="ar-SA"/>
        </w:rPr>
      </w:pPr>
      <w:r>
        <w:rPr>
          <w:rFonts w:ascii="arial narrow" w:hAnsi="arial narrow"/>
          <w:color w:val="auto"/>
          <w:sz w:val="16"/>
          <w:szCs w:val="16"/>
          <w:lang w:val="sk-SK" w:eastAsia="en-US" w:bidi="ar-SA"/>
        </w:rPr>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VARSEL:</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EN 13914-1 gælder for projektering, klargøring og udførelse af udvendig pudsning</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Yderligere tilsætning af bindemidler, fyldstoffer og andre tilsætningsstoffer eller screening af blandinger er ikke tilladt.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Blandingen kan kun forarbejdes ved luft- og underlagstemperaturer på + 5 °C!!! Må ikke bruges, når der forventes frost!</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Der skal bruges drikkevand eller vand i overensstemmelse med EN1008 til at blande blandingen.</w:t>
      </w:r>
    </w:p>
    <w:p>
      <w:pPr>
        <w:pStyle w:val="Telotextu"/>
        <w:spacing w:before="0" w:after="80"/>
        <w:ind w:left="0" w:right="57" w:hanging="0"/>
        <w:jc w:val="both"/>
        <w:rPr>
          <w:rFonts w:ascii="arial narrow" w:hAnsi="arial narrow"/>
          <w:sz w:val="16"/>
          <w:szCs w:val="16"/>
        </w:rPr>
      </w:pPr>
      <w:r>
        <w:rPr>
          <w:rFonts w:ascii="arial narrow" w:hAnsi="arial narrow"/>
          <w:color w:val="auto"/>
          <w:sz w:val="16"/>
          <w:szCs w:val="16"/>
          <w:lang w:val="sk-SK" w:eastAsia="en-US" w:bidi="ar-SA"/>
        </w:rPr>
        <w:t xml:space="preserve">• </w:t>
      </w:r>
      <w:r>
        <w:rPr>
          <w:rFonts w:ascii="arial narrow" w:hAnsi="arial narrow"/>
          <w:color w:val="auto"/>
          <w:sz w:val="16"/>
          <w:szCs w:val="16"/>
          <w:lang w:val="sk-SK" w:eastAsia="en-US" w:bidi="ar-SA"/>
        </w:rPr>
        <w:t>Bortskaffelse af produktet: Anbring den brugte emballage på en autoriseret affaldsplads. Lad det ubrugte materiale hærde og læg det på en kommunal affaldsplads. Egen klargøring - affaldskode 101311 Affald fra andre blandede materialer, der ikke er opført under numrene 101309 og 101310. Hærdet masse - affaldskode 170904 Blandet bygge- og anlægsaffald ikke opført under numrene 170901, 17090</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Førstehjælp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 tilfælde af helbredsproblemer eller i tvivlstilfælde skal du informere lægen.</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 tilfælde af indånding, flyt offeret til frisk luft, i tilfælde af vejrtrækningsproblemer tilkald lægehjælp.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 tilfælde af hudkontakt, vask huden med rent vand og sæbe. Behandl irriterede områder med reparationscreme.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I tilfælde af kontakt med øjnene, vask straks øjenlågene åbne med en strøm af rent vand i 15 min. og søg derefter læge.</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Ved indtagelse, skyl munden med vand, drik 0,5 liter vand og søg lægehjælp. Fremkald ikke opkastning.</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Produktet kan forårsage en allergisk reaktion ved kontakt med huden. Hvis symptomerne på en påvirkning (irritation) forårsaget af kontakt med produktet ikke forsvinder efter førstehjælp, søg lægehjælp.</w:t>
      </w:r>
    </w:p>
    <w:p>
      <w:pPr>
        <w:pStyle w:val="Telotextu"/>
        <w:spacing w:before="0" w:after="192"/>
        <w:ind w:left="0" w:right="57" w:hanging="0"/>
        <w:jc w:val="both"/>
        <w:rPr>
          <w:rFonts w:ascii="arial narrow" w:hAnsi="arial narrow"/>
          <w:sz w:val="16"/>
          <w:szCs w:val="16"/>
        </w:rPr>
      </w:pPr>
      <w:r>
        <w:rPr>
          <w:rFonts w:ascii="arial narrow" w:hAnsi="arial narrow"/>
          <w:color w:val="auto"/>
          <w:sz w:val="16"/>
          <w:szCs w:val="16"/>
          <w:lang w:val="sk-SK" w:eastAsia="en-US" w:bidi="ar-SA"/>
        </w:rPr>
        <w:t>Opbevares utilgængeligt for børn!</w:t>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Sikkerheds- og hygiejnebestemmelser</w:t>
      </w:r>
    </w:p>
    <w:p>
      <w:pPr>
        <w:pStyle w:val="Telotextu"/>
        <w:spacing w:before="0" w:after="80"/>
        <w:ind w:left="6" w:right="57" w:hanging="6"/>
        <w:jc w:val="both"/>
        <w:rPr>
          <w:rFonts w:ascii="arial narrow" w:hAnsi="arial narrow"/>
          <w:sz w:val="16"/>
          <w:szCs w:val="16"/>
        </w:rPr>
      </w:pPr>
      <w:r>
        <w:rPr/>
        <w:drawing>
          <wp:inline distT="0" distB="0" distL="0" distR="0">
            <wp:extent cx="538480" cy="53848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tretch>
                      <a:fillRect/>
                    </a:stretch>
                  </pic:blipFill>
                  <pic:spPr bwMode="auto">
                    <a:xfrm>
                      <a:off x="0" y="0"/>
                      <a:ext cx="538480" cy="538480"/>
                    </a:xfrm>
                    <a:prstGeom prst="rect">
                      <a:avLst/>
                    </a:prstGeom>
                  </pic:spPr>
                </pic:pic>
              </a:graphicData>
            </a:graphic>
          </wp:inline>
        </w:drawing>
      </w:r>
      <w:r>
        <w:rPr>
          <w:rFonts w:ascii="arial narrow" w:hAnsi="arial narrow"/>
          <w:color w:val="auto"/>
          <w:spacing w:val="-3"/>
          <w:sz w:val="16"/>
          <w:szCs w:val="16"/>
          <w:lang w:val="sk-SK" w:eastAsia="en-US" w:bidi="ar-SA"/>
        </w:rPr>
        <w:t xml:space="preserve">       </w:t>
      </w:r>
      <w:r>
        <w:rPr/>
        <w:drawing>
          <wp:inline distT="0" distB="0" distL="0" distR="0">
            <wp:extent cx="519430" cy="519430"/>
            <wp:effectExtent l="0" t="0" r="0" b="0"/>
            <wp:docPr id="2" name="Bild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
                    <pic:cNvPicPr>
                      <a:picLocks noChangeAspect="1" noChangeArrowheads="1"/>
                    </pic:cNvPicPr>
                  </pic:nvPicPr>
                  <pic:blipFill>
                    <a:blip r:embed="rId3"/>
                    <a:stretch>
                      <a:fillRect/>
                    </a:stretch>
                  </pic:blipFill>
                  <pic:spPr bwMode="auto">
                    <a:xfrm>
                      <a:off x="0" y="0"/>
                      <a:ext cx="519430" cy="519430"/>
                    </a:xfrm>
                    <a:prstGeom prst="rect">
                      <a:avLst/>
                    </a:prstGeom>
                  </pic:spPr>
                </pic:pic>
              </a:graphicData>
            </a:graphic>
          </wp:inline>
        </w:drawing>
      </w:r>
    </w:p>
    <w:p>
      <w:pPr>
        <w:pStyle w:val="Telotextu"/>
        <w:spacing w:before="0" w:after="80"/>
        <w:ind w:left="6" w:right="57" w:hanging="6"/>
        <w:jc w:val="both"/>
        <w:rPr>
          <w:rFonts w:ascii="arial narrow" w:hAnsi="arial narrow"/>
          <w:color w:val="auto"/>
          <w:spacing w:val="-3"/>
          <w:sz w:val="16"/>
          <w:szCs w:val="16"/>
          <w:lang w:val="sk-SK" w:eastAsia="en-US" w:bidi="ar-SA"/>
        </w:rPr>
      </w:pPr>
      <w:r>
        <w:rPr>
          <w:rFonts w:ascii="arial narrow" w:hAnsi="arial narrow"/>
          <w:color w:val="auto"/>
          <w:spacing w:val="-3"/>
          <w:sz w:val="16"/>
          <w:szCs w:val="16"/>
          <w:lang w:val="sk-SK" w:eastAsia="en-US" w:bidi="ar-SA"/>
        </w:rPr>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Advarselssymbol: Xi irriterende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R37/38 Irriterer luftvejene og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R41 Risiko for alvorlig øjenskade.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R43 Kan give overfølsomhed ved hudkontakt.</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 Opbevares utilgængeligt for børn.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S22 Indånd ikke støv.</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S24 Undgå kontakt med huden.</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S25 Undgå kontakt med øjnene.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S26 I tilfælde af øjenkontakt, skyl straks med rigeligt vand og søg læge.</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S36/37/39 Bær egnet beskyttelsestøj, beskyttelseshandsker og sikkerhedsbriller eller ansigtsskærm.</w:t>
      </w:r>
    </w:p>
    <w:p>
      <w:pPr>
        <w:pStyle w:val="Telotextu"/>
        <w:spacing w:before="0" w:after="80"/>
        <w:ind w:left="6" w:right="57" w:hanging="6"/>
        <w:jc w:val="both"/>
        <w:rPr>
          <w:rFonts w:ascii="arial narrow" w:hAnsi="arial narrow"/>
          <w:sz w:val="16"/>
          <w:szCs w:val="16"/>
        </w:rPr>
      </w:pPr>
      <w:r>
        <w:rPr>
          <w:rFonts w:ascii="arial narrow" w:hAnsi="arial narrow"/>
          <w:color w:val="auto"/>
          <w:spacing w:val="-3"/>
          <w:sz w:val="16"/>
          <w:szCs w:val="16"/>
          <w:lang w:val="sk-SK" w:eastAsia="en-US" w:bidi="ar-SA"/>
        </w:rPr>
        <w:t>S46 Ved indtagelse, søg omgående læge og vis denne beholder eller etiket.</w:t>
      </w:r>
    </w:p>
    <w:p>
      <w:pPr>
        <w:pStyle w:val="Telotextu"/>
        <w:spacing w:before="0" w:after="80"/>
        <w:ind w:left="125" w:right="57" w:hanging="0"/>
        <w:jc w:val="both"/>
        <w:rPr>
          <w:rFonts w:ascii="arial narrow" w:hAnsi="arial narrow"/>
          <w:b/>
          <w:b/>
          <w:color w:val="auto"/>
          <w:sz w:val="16"/>
          <w:szCs w:val="16"/>
          <w:lang w:val="sk-SK" w:eastAsia="en-US" w:bidi="ar-SA"/>
        </w:rPr>
      </w:pPr>
      <w:r>
        <w:rPr>
          <w:rFonts w:ascii="arial narrow" w:hAnsi="arial narrow"/>
          <w:b/>
          <w:color w:val="auto"/>
          <w:sz w:val="16"/>
          <w:szCs w:val="16"/>
          <w:lang w:val="sk-SK" w:eastAsia="en-US" w:bidi="ar-SA"/>
        </w:rPr>
      </w:r>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Opbevaring</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 xml:space="preserve">Opbevar produktet på et tørt sted i den originale emballage - beskyt det mod beskadigelse, udsættelse for vand og høj relativ luftfugtighed. Hvis de angivne forhold overholdes, er holdbarheden </w:t>
      </w:r>
      <w:r>
        <w:rPr>
          <w:rFonts w:ascii="arial narrow" w:hAnsi="arial narrow"/>
          <w:color w:val="auto"/>
          <w:spacing w:val="-1"/>
          <w:sz w:val="16"/>
          <w:szCs w:val="16"/>
          <w:lang w:val="sk-SK" w:eastAsia="en-US" w:bidi="ar-SA"/>
        </w:rPr>
        <w:t>12</w:t>
      </w:r>
      <w:r>
        <w:rPr>
          <w:rFonts w:ascii="arial narrow" w:hAnsi="arial narrow"/>
          <w:color w:val="auto"/>
          <w:spacing w:val="-1"/>
          <w:sz w:val="16"/>
          <w:szCs w:val="16"/>
          <w:lang w:val="sk-SK" w:eastAsia="en-US" w:bidi="ar-SA"/>
        </w:rPr>
        <w:t xml:space="preserve"> måneder fra den dato, der er angivet på emballagen.</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Ekspedition</w:t>
      </w:r>
      <w:r>
        <w:rPr>
          <w:rFonts w:ascii="arial narrow" w:hAnsi="arial narrow"/>
          <w:b/>
          <w:color w:val="auto"/>
          <w:sz w:val="16"/>
          <w:szCs w:val="16"/>
          <w:lang w:val="sk-SK" w:eastAsia="en-US" w:bidi="ar-SA"/>
        </w:rPr>
        <w:t xml:space="preserve"> </w:t>
      </w:r>
    </w:p>
    <w:p>
      <w:pPr>
        <w:pStyle w:val="Telotextu"/>
        <w:spacing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Den tørre blanding leveres i papirsposer på paller beklædt med folie.</w:t>
      </w:r>
    </w:p>
    <w:p>
      <w:pPr>
        <w:pStyle w:val="Normal"/>
        <w:shd w:val="clear" w:color="auto" w:fill="808080" w:themeFill="background1" w:themeFillShade="80"/>
        <w:spacing w:before="160" w:after="160"/>
        <w:rPr>
          <w:rFonts w:ascii="arial narrow" w:hAnsi="arial narrow"/>
          <w:sz w:val="16"/>
          <w:szCs w:val="16"/>
        </w:rPr>
      </w:pPr>
      <w:r>
        <w:rPr>
          <w:rFonts w:ascii="arial narrow" w:hAnsi="arial narrow"/>
          <w:b/>
          <w:color w:val="FFFFFF" w:themeColor="background1"/>
          <w:sz w:val="18"/>
          <w:szCs w:val="18"/>
          <w:lang w:val="sk-SK" w:eastAsia="en-US" w:bidi="ar-SA"/>
        </w:rPr>
        <w:t>Lavet</w:t>
      </w:r>
      <w:r>
        <w:rPr>
          <w:rFonts w:ascii="arial narrow" w:hAnsi="arial narrow"/>
          <w:b/>
          <w:color w:val="auto"/>
          <w:sz w:val="16"/>
          <w:szCs w:val="16"/>
          <w:lang w:val="sk-SK" w:eastAsia="en-US" w:bidi="ar-SA"/>
        </w:rPr>
        <w:t xml:space="preserve"> </w:t>
      </w:r>
    </w:p>
    <w:p>
      <w:pPr>
        <w:pStyle w:val="Telotextu"/>
        <w:spacing w:lineRule="auto" w:line="240" w:before="0" w:after="80"/>
        <w:ind w:left="0" w:right="57" w:hanging="0"/>
        <w:jc w:val="both"/>
        <w:rPr>
          <w:rFonts w:ascii="arial narrow" w:hAnsi="arial narrow"/>
          <w:sz w:val="16"/>
          <w:szCs w:val="16"/>
        </w:rPr>
      </w:pPr>
      <w:r>
        <w:rPr>
          <w:rFonts w:ascii="arial narrow" w:hAnsi="arial narrow"/>
          <w:color w:val="auto"/>
          <w:spacing w:val="-1"/>
          <w:sz w:val="16"/>
          <w:szCs w:val="16"/>
          <w:lang w:val="sk-SK" w:eastAsia="en-US" w:bidi="ar-SA"/>
        </w:rPr>
        <w:t>i EU for SICC Coatings GmbH</w:t>
      </w:r>
      <w:bookmarkStart w:id="0" w:name="_GoBack"/>
      <w:bookmarkEnd w:id="0"/>
    </w:p>
    <w:p>
      <w:pPr>
        <w:pStyle w:val="Normal"/>
        <w:shd w:val="clear" w:color="auto" w:fill="808080" w:themeFill="background1" w:themeFillShade="80"/>
        <w:spacing w:before="160" w:after="160"/>
        <w:rPr>
          <w:rFonts w:ascii="arial narrow" w:hAnsi="arial narrow"/>
          <w:sz w:val="18"/>
          <w:szCs w:val="18"/>
        </w:rPr>
      </w:pPr>
      <w:r>
        <w:rPr>
          <w:rFonts w:ascii="arial narrow" w:hAnsi="arial narrow"/>
          <w:b/>
          <w:color w:val="FFFFFF" w:themeColor="background1"/>
          <w:sz w:val="18"/>
          <w:szCs w:val="18"/>
          <w:lang w:val="sk-SK" w:eastAsia="en-US" w:bidi="ar-SA"/>
        </w:rPr>
        <w:t>Gyldighed</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Fra 1.6.2020</w:t>
      </w:r>
    </w:p>
    <w:p>
      <w:pPr>
        <w:pStyle w:val="Telotextu"/>
        <w:spacing w:before="0" w:after="80"/>
        <w:ind w:left="0" w:right="57" w:hanging="0"/>
        <w:rPr>
          <w:rFonts w:ascii="arial narrow" w:hAnsi="arial narrow"/>
          <w:sz w:val="16"/>
          <w:szCs w:val="16"/>
        </w:rPr>
      </w:pPr>
      <w:r>
        <w:rPr>
          <w:rFonts w:ascii="arial narrow" w:hAnsi="arial narrow"/>
          <w:color w:val="auto"/>
          <w:spacing w:val="-1"/>
          <w:sz w:val="16"/>
          <w:szCs w:val="16"/>
          <w:lang w:val="sk-SK" w:eastAsia="en-US" w:bidi="ar-SA"/>
        </w:rPr>
        <w:t>Da brugen og behandlingen af produktet ikke er underlagt vores direkte indflydelse, er vi ikke ansvarlige for skader forårsaget af dets forkerte brug. Vi forbeholder os ret til ændringer som følge af tekniske fremskridt.</w:t>
      </w:r>
    </w:p>
    <w:p>
      <w:pPr>
        <w:pStyle w:val="Telotextu"/>
        <w:spacing w:before="0" w:after="80"/>
        <w:ind w:left="0" w:right="57" w:hanging="0"/>
        <w:rPr>
          <w:rFonts w:ascii="arial narrow" w:hAnsi="arial narrow"/>
          <w:spacing w:val="-1"/>
          <w:sz w:val="16"/>
          <w:szCs w:val="16"/>
          <w:lang w:val="sk-SK" w:eastAsia="en-US" w:bidi="ar-SA"/>
        </w:rPr>
      </w:pPr>
      <w:r>
        <w:rPr>
          <w:rFonts w:ascii="arial narrow" w:hAnsi="arial narrow"/>
          <w:spacing w:val="-1"/>
          <w:sz w:val="16"/>
          <w:szCs w:val="16"/>
          <w:lang w:val="sk-SK" w:eastAsia="en-US" w:bidi="ar-SA"/>
        </w:rPr>
      </w:r>
    </w:p>
    <w:p>
      <w:pPr>
        <w:pStyle w:val="Telotextu"/>
        <w:spacing w:before="0" w:after="80"/>
        <w:ind w:left="0" w:right="57" w:hanging="0"/>
        <w:rPr>
          <w:rFonts w:ascii="arial narrow" w:hAnsi="arial narrow"/>
          <w:sz w:val="16"/>
          <w:szCs w:val="16"/>
        </w:rPr>
      </w:pPr>
      <w:r>
        <w:rPr>
          <w:rFonts w:ascii="arial narrow" w:hAnsi="arial narrow"/>
          <w:sz w:val="16"/>
          <w:szCs w:val="16"/>
        </w:rPr>
      </w:r>
    </w:p>
    <w:p>
      <w:pPr>
        <w:sectPr>
          <w:headerReference w:type="default" r:id="rId4"/>
          <w:footerReference w:type="default" r:id="rId5"/>
          <w:type w:val="nextPage"/>
          <w:pgSz w:w="11906" w:h="16838"/>
          <w:pgMar w:left="1021" w:right="1021" w:gutter="0" w:header="1418" w:top="1701" w:footer="851" w:bottom="1311"/>
          <w:pgNumType w:fmt="decimal"/>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1418" w:top="1701" w:footer="851" w:bottom="131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1"/>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Zpat1"/>
      <w:shd w:val="clear" w:color="auto" w:fill="3B3838" w:themeFill="background2" w:themeFillShade="40"/>
      <w:jc w:val="right"/>
      <w:rPr/>
    </w:pPr>
    <w:r>
      <w:rPr>
        <w:rFonts w:cs="Arial" w:ascii="Arial Narrow" w:hAnsi="Arial Narrow"/>
        <w:color w:val="F2F2F2" w:themeColor="background1" w:themeShade="f2"/>
        <w:sz w:val="20"/>
        <w:szCs w:val="20"/>
      </w:rPr>
      <w:t>TM IsoTex F50 | Stand 01.06.2020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1"/>
      <w:rPr>
        <w:rFonts w:ascii="Arial Narrow" w:hAnsi="Arial Narrow" w:cs="Arial"/>
        <w:b/>
        <w:b/>
        <w:sz w:val="24"/>
        <w:szCs w:val="24"/>
      </w:rPr>
    </w:pPr>
    <w:r>
      <w:rPr/>
      <w:drawing>
        <wp:inline distT="0" distB="0" distL="0" distR="0">
          <wp:extent cx="6263640" cy="1043940"/>
          <wp:effectExtent l="0" t="0" r="0" b="0"/>
          <wp:docPr id="3"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1"/>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1"/>
      <w:rPr/>
    </w:pPr>
    <w:r>
      <w:rPr>
        <w:rFonts w:cs="Arial" w:ascii="Arial Narrow" w:hAnsi="Arial Narrow"/>
        <w:b/>
        <w:color w:val="262626" w:themeColor="text1" w:themeTint="d9"/>
        <w:sz w:val="24"/>
        <w:szCs w:val="24"/>
      </w:rPr>
      <w:t>Teknisk ark:</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F50</w:t>
    </w:r>
  </w:p>
  <w:p>
    <w:pPr>
      <w:pStyle w:val="Zhlav1"/>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11b0"/>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Zhlav1"/>
    <w:uiPriority w:val="99"/>
    <w:qFormat/>
    <w:rsid w:val="00236d9d"/>
    <w:rPr/>
  </w:style>
  <w:style w:type="character" w:styleId="FuzeileZchn" w:customStyle="1">
    <w:name w:val="Fußzeile Zchn"/>
    <w:basedOn w:val="DefaultParagraphFont"/>
    <w:link w:val="Zpat1"/>
    <w:uiPriority w:val="99"/>
    <w:qFormat/>
    <w:rsid w:val="00236d9d"/>
    <w:rPr/>
  </w:style>
  <w:style w:type="character" w:styleId="ZkladntextChar" w:customStyle="1">
    <w:name w:val="Základní text Char"/>
    <w:basedOn w:val="DefaultParagraphFont"/>
    <w:uiPriority w:val="1"/>
    <w:qFormat/>
    <w:rsid w:val="00236d9d"/>
    <w:rPr>
      <w:rFonts w:ascii="Arial Narrow" w:hAnsi="Arial Narrow" w:eastAsia="Arial Narrow"/>
      <w:sz w:val="16"/>
      <w:szCs w:val="16"/>
      <w:lang w:val="da-DK"/>
    </w:rPr>
  </w:style>
  <w:style w:type="character" w:styleId="Internetovodkaz" w:customStyle="1">
    <w:name w:val="Internetový odkaz"/>
    <w:basedOn w:val="DefaultParagraphFont"/>
    <w:uiPriority w:val="99"/>
    <w:unhideWhenUsed/>
    <w:rsid w:val="005e1672"/>
    <w:rPr>
      <w:color w:val="0563C1" w:themeColor="hyperlink"/>
      <w:u w:val="single"/>
    </w:rPr>
  </w:style>
  <w:style w:type="character" w:styleId="Nevyeenzmnka1" w:customStyle="1">
    <w:name w:val="Nevyřešená zmínka1"/>
    <w:basedOn w:val="DefaultParagraphFont"/>
    <w:uiPriority w:val="99"/>
    <w:semiHidden/>
    <w:unhideWhenUsed/>
    <w:qFormat/>
    <w:rsid w:val="005e1672"/>
    <w:rPr>
      <w:color w:val="808080"/>
      <w:shd w:fill="E6E6E6" w:val="clear"/>
    </w:rPr>
  </w:style>
  <w:style w:type="character" w:styleId="TextbublinyChar" w:customStyle="1">
    <w:name w:val="Text bubliny Char"/>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customStyle="1">
    <w:name w:val="Odrážky"/>
    <w:qFormat/>
    <w:rsid w:val="003611b0"/>
    <w:rPr>
      <w:rFonts w:ascii="OpenSymbol" w:hAnsi="OpenSymbol" w:eastAsia="OpenSymbol" w:cs="OpenSymbol"/>
    </w:rPr>
  </w:style>
  <w:style w:type="character" w:styleId="ZhlavChar" w:customStyle="1">
    <w:name w:val="Záhlaví Char"/>
    <w:basedOn w:val="DefaultParagraphFont"/>
    <w:uiPriority w:val="99"/>
    <w:qFormat/>
    <w:rsid w:val="009c4ab2"/>
    <w:rPr/>
  </w:style>
  <w:style w:type="character" w:styleId="ZpatChar" w:customStyle="1">
    <w:name w:val="Zápatí Char"/>
    <w:basedOn w:val="DefaultParagraphFont"/>
    <w:uiPriority w:val="99"/>
    <w:qFormat/>
    <w:rsid w:val="009c4ab2"/>
    <w:rPr/>
  </w:style>
  <w:style w:type="paragraph" w:styleId="Nadpis" w:customStyle="1">
    <w:name w:val="Nadpis"/>
    <w:basedOn w:val="Normal"/>
    <w:next w:val="Telotextu"/>
    <w:qFormat/>
    <w:rsid w:val="003611b0"/>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uiPriority w:val="1"/>
    <w:qFormat/>
    <w:rsid w:val="00236d9d"/>
    <w:pPr>
      <w:widowControl w:val="false"/>
      <w:spacing w:lineRule="auto" w:line="240" w:before="0" w:after="0"/>
      <w:ind w:left="125" w:hanging="0"/>
    </w:pPr>
    <w:rPr>
      <w:rFonts w:ascii="Arial Narrow" w:hAnsi="Arial Narrow" w:eastAsia="Arial Narrow"/>
      <w:sz w:val="16"/>
      <w:szCs w:val="16"/>
      <w:lang w:val="da-DK"/>
    </w:rPr>
  </w:style>
  <w:style w:type="paragraph" w:styleId="Zoznam">
    <w:name w:val="List"/>
    <w:basedOn w:val="Telotextu"/>
    <w:rsid w:val="003611b0"/>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3611b0"/>
    <w:pPr>
      <w:suppressLineNumbers/>
    </w:pPr>
    <w:rPr>
      <w:rFonts w:cs="Lohit Devanagari"/>
    </w:rPr>
  </w:style>
  <w:style w:type="paragraph" w:styleId="Titulek1" w:customStyle="1">
    <w:name w:val="Titulek1"/>
    <w:basedOn w:val="Normal"/>
    <w:qFormat/>
    <w:rsid w:val="003611b0"/>
    <w:pPr>
      <w:suppressLineNumbers/>
      <w:spacing w:before="120" w:after="120"/>
    </w:pPr>
    <w:rPr>
      <w:rFonts w:cs="Lohit Devanagari"/>
      <w:i/>
      <w:iCs/>
      <w:sz w:val="24"/>
      <w:szCs w:val="24"/>
    </w:rPr>
  </w:style>
  <w:style w:type="paragraph" w:styleId="Zhlav1" w:customStyle="1">
    <w:name w:val="Záhlaví1"/>
    <w:basedOn w:val="Normal"/>
    <w:link w:val="Kopf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Zpat1" w:customStyle="1">
    <w:name w:val="Zápatí1"/>
    <w:basedOn w:val="Normal"/>
    <w:link w:val="FuzeileZchn"/>
    <w:uiPriority w:val="99"/>
    <w:unhideWhenUsed/>
    <w:qFormat/>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c913e4"/>
    <w:pPr>
      <w:spacing w:lineRule="auto" w:line="240" w:before="0" w:after="0"/>
    </w:pPr>
    <w:rPr>
      <w:rFonts w:ascii="Segoe UI" w:hAnsi="Segoe UI" w:cs="Segoe UI"/>
      <w:sz w:val="18"/>
      <w:szCs w:val="18"/>
    </w:rPr>
  </w:style>
  <w:style w:type="paragraph" w:styleId="Obsahtabuky" w:customStyle="1">
    <w:name w:val="Obsah tabuľky"/>
    <w:basedOn w:val="Normal"/>
    <w:qFormat/>
    <w:rsid w:val="003611b0"/>
    <w:pPr>
      <w:suppressLineNumbers/>
    </w:pPr>
    <w:rPr/>
  </w:style>
  <w:style w:type="paragraph" w:styleId="Nadpistabuky" w:customStyle="1">
    <w:name w:val="Nadpis tabuľky"/>
    <w:basedOn w:val="Obsahtabuky"/>
    <w:qFormat/>
    <w:rsid w:val="003611b0"/>
    <w:pPr>
      <w:jc w:val="center"/>
    </w:pPr>
    <w:rPr>
      <w:b/>
      <w:bCs/>
    </w:rPr>
  </w:style>
  <w:style w:type="paragraph" w:styleId="ListParagraph">
    <w:name w:val="List Paragraph"/>
    <w:basedOn w:val="Normal"/>
    <w:qFormat/>
    <w:rsid w:val="003611b0"/>
    <w:pPr>
      <w:spacing w:lineRule="auto" w:line="240" w:before="0" w:after="200"/>
      <w:ind w:left="720" w:hanging="0"/>
      <w:contextualSpacing/>
    </w:pPr>
    <w:rPr>
      <w:rFonts w:ascii="Calibri" w:hAnsi="Calibri" w:eastAsia="Calibri" w:cs="Times New Roman"/>
      <w:lang w:val="da-DK"/>
    </w:rPr>
  </w:style>
  <w:style w:type="paragraph" w:styleId="Hlavikaapta">
    <w:name w:val="Hlavička a päta"/>
    <w:basedOn w:val="Normal"/>
    <w:qFormat/>
    <w:pPr/>
    <w:rPr/>
  </w:style>
  <w:style w:type="paragraph" w:styleId="Zhlavie">
    <w:name w:val="Header"/>
    <w:basedOn w:val="Normal"/>
    <w:link w:val="ZhlavChar"/>
    <w:uiPriority w:val="99"/>
    <w:unhideWhenUsed/>
    <w:rsid w:val="009c4ab2"/>
    <w:pPr>
      <w:tabs>
        <w:tab w:val="clear" w:pos="708"/>
        <w:tab w:val="center" w:pos="4536" w:leader="none"/>
        <w:tab w:val="right" w:pos="9072" w:leader="none"/>
      </w:tabs>
      <w:spacing w:lineRule="auto" w:line="240" w:before="0" w:after="0"/>
    </w:pPr>
    <w:rPr/>
  </w:style>
  <w:style w:type="paragraph" w:styleId="Pta">
    <w:name w:val="Footer"/>
    <w:basedOn w:val="Normal"/>
    <w:link w:val="ZpatChar"/>
    <w:uiPriority w:val="99"/>
    <w:unhideWhenUsed/>
    <w:rsid w:val="009c4ab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c4ab2"/>
    <w:rPr>
      <w:lang w:val="d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878-D87A-425E-9D30-BD27707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LibreOffice/7.3.7.2$Linux_X86_64 LibreOffice_project/30$Build-2</Application>
  <AppVersion>15.0000</AppVersion>
  <Pages>2</Pages>
  <Words>830</Words>
  <Characters>4630</Characters>
  <CharactersWithSpaces>5395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2021-07-29T06:57:00Z</dcterms:created>
  <dc:creator>Sprenger</dc:creator>
  <dc:description/>
  <dc:language>sk-SK</dc:language>
  <cp:lastModifiedBy/>
  <cp:lastPrinted>2019-10-31T10:14:00Z</cp:lastPrinted>
  <dcterms:modified xsi:type="dcterms:W3CDTF">2025-06-13T11:28:25Z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