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Частина 1. ІДЕНТИФІКАЦІЯ РЕЧОВИНИ/СУМІШІ ТА КОМПАНІЇ/БІЗНЕСУ</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Ідентифікатор продукту:</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Назва продукту:</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Інші імена: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Хімічний опис: Суха штукатурна суміш, портландцементна суміш і добавки відповідно до STN EN 998-1. Хімічна назва Портландцемент Номер CAS: 65997-15-1 Номер EC (EINECS): 266-043-4, Гідроксид кальцію Номер CAS: 1305. - 620 номер EC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Відповідні ідентифіковані сфери використання речовини або суміші та застосування: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Штукатурка призначена для ручного або машинного нанесення зовні або всередині будівель. Штукатурка характеризується високою адгезією до основи, легкістю нанесення, зниженим поглинанням поверхні та збільшеним часом обробки. Морозостійка, атмосферостійка штукатурка має тривалий термін служби і низьку поглинаючу здатність.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Ідентифікація виробника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Зроблено в ЄС для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Телефон: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Електронна адреса: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Веб-сайт: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Номер телефону екстреної допомоги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Інформаційний центр токсикології,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Телефон: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РОЗДІЛ 2. </w:t>
        <w:tab/>
        <w:tab/>
        <w:t>ІДЕНТИФІКАЦІЯ НЕБЕЗПЕКИ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Класифікація речовини або суміші: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Класифікація відповідно до Регламенту (ЄС)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Подразнення шкіри, категорія 2: </w:t>
        <w:tab/>
        <w:t>H315 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 xml:space="preserve">Серйозне пошкодження очей, Категорія 1: </w:t>
        <w:tab/>
        <w:t>H318 Спричиняє серйозне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 xml:space="preserve">Сенсибілізація шкіри, категорія 1B, </w:t>
        <w:tab/>
        <w:t>H317 Може викликати алергічну реакцію шкіри.</w:t>
      </w:r>
    </w:p>
    <w:p>
      <w:pPr>
        <w:pStyle w:val="Normal"/>
        <w:spacing w:lineRule="auto" w:line="240" w:before="0" w:after="0"/>
        <w:rPr>
          <w:rFonts w:ascii="Arial Narrow" w:hAnsi="Arial Narrow"/>
          <w:sz w:val="20"/>
          <w:szCs w:val="20"/>
        </w:rPr>
      </w:pPr>
      <w:r>
        <w:rPr>
          <w:rFonts w:ascii="Arial Narrow" w:hAnsi="Arial Narrow"/>
          <w:sz w:val="20"/>
          <w:szCs w:val="20"/>
        </w:rPr>
        <w:t>Специфічна токсичність для органів-мішеней - одноразовий вплив, категорія 3, H335 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елементи маркування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попередження про небезпеку:</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841375</wp:posOffset>
            </wp:positionH>
            <wp:positionV relativeFrom="paragraph">
              <wp:posOffset>48895</wp:posOffset>
            </wp:positionV>
            <wp:extent cx="828040" cy="828040"/>
            <wp:effectExtent l="0" t="0" r="0" b="0"/>
            <wp:wrapTight wrapText="bothSides">
              <wp:wrapPolygon edited="0">
                <wp:start x="-36" y="0"/>
                <wp:lineTo x="-36" y="20842"/>
                <wp:lineTo x="20840" y="20842"/>
                <wp:lineTo x="20840" y="0"/>
                <wp:lineTo x="-36"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1.1pt;margin-top:3.85pt;width:65.2pt;height:65.2pt;mso-wrap-distance-right:0pt;mso-position-horizontal-relative:text;mso-position-vertical-relative:text" filled="f" o:ole="">
            <v:imagedata r:id="rId4" o:title=""/>
            <w10:wrap type="tight"/>
          </v:shape>
          <o:OLEObject Type="Embed" ProgID="" ShapeID="ole_rId3" DrawAspect="Content" ObjectID="_707144922" r:id="rId3"/>
        </w:object>
      </w:r>
    </w:p>
    <w:p>
      <w:pPr>
        <w:pStyle w:val="Normal"/>
        <w:spacing w:lineRule="auto" w:line="240" w:before="0" w:after="0"/>
        <w:rPr>
          <w:rFonts w:ascii="Arial Narrow" w:hAnsi="Arial Narrow"/>
          <w:b/>
          <w:b/>
          <w:sz w:val="20"/>
          <w:szCs w:val="20"/>
        </w:rPr>
      </w:pPr>
      <w:r>
        <w:rPr>
          <w:rFonts w:ascii="Arial Narrow" w:hAnsi="Arial Narrow"/>
          <w:b/>
          <w:sz w:val="20"/>
          <w:szCs w:val="20"/>
        </w:rPr>
        <w:t>попереджувальне слово:</w:t>
      </w:r>
    </w:p>
    <w:p>
      <w:pPr>
        <w:pStyle w:val="Normal"/>
        <w:spacing w:lineRule="auto" w:line="240" w:before="0" w:after="0"/>
        <w:rPr>
          <w:rFonts w:ascii="Arial Narrow" w:hAnsi="Arial Narrow"/>
          <w:sz w:val="20"/>
          <w:szCs w:val="20"/>
        </w:rPr>
      </w:pPr>
      <w:r>
        <w:rPr>
          <w:rFonts w:ascii="Arial Narrow" w:hAnsi="Arial Narrow"/>
          <w:sz w:val="20"/>
          <w:szCs w:val="20"/>
        </w:rPr>
        <w:t>Небезпека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Стандартні заяви про небезпеку: </w:t>
      </w:r>
      <w:r>
        <w:rPr>
          <w:rFonts w:ascii="Arial Narrow" w:hAnsi="Arial Narrow"/>
          <w:sz w:val="16"/>
          <w:szCs w:val="16"/>
        </w:rPr>
        <w:t>портландцемент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Викликає серйозне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Інструкції щодо безпечного поводження:</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Якщо потрібна медична допомога, майте під рукою контейнер або етикетку виробника.</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Уникати вдихання пилу.</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Використовуйте захисні рукавички / захисний одяг / захисні окуляри / щиток для обличчя.</w:t>
      </w:r>
    </w:p>
    <w:p>
      <w:pPr>
        <w:pStyle w:val="Normal"/>
        <w:spacing w:lineRule="auto" w:line="240" w:before="0" w:after="0"/>
        <w:rPr>
          <w:rFonts w:ascii="Arial Narrow" w:hAnsi="Arial Narrow"/>
          <w:sz w:val="20"/>
          <w:szCs w:val="20"/>
        </w:rPr>
      </w:pPr>
      <w:r>
        <w:rPr>
          <w:rFonts w:ascii="Arial Narrow" w:hAnsi="Arial Narrow"/>
          <w:sz w:val="20"/>
          <w:szCs w:val="20"/>
        </w:rPr>
        <w:t>P305+P351+P338: У РАЗІ ПОПАДАННЯ В ОЧІ: Обережно промийте водою протягом кількох хвилин. Зніміть контактні лінзи, якщо ви носите, і зніміть їх, якщо можливо. Продовжуйте полоскання.</w:t>
      </w:r>
    </w:p>
    <w:p>
      <w:pPr>
        <w:pStyle w:val="Normal"/>
        <w:spacing w:lineRule="auto" w:line="240" w:before="0" w:after="0"/>
        <w:rPr>
          <w:rFonts w:ascii="Arial Narrow" w:hAnsi="Arial Narrow"/>
          <w:sz w:val="20"/>
          <w:szCs w:val="20"/>
        </w:rPr>
      </w:pPr>
      <w:r>
        <w:rPr>
          <w:rFonts w:ascii="Arial Narrow" w:hAnsi="Arial Narrow"/>
          <w:sz w:val="20"/>
          <w:szCs w:val="20"/>
        </w:rPr>
        <w:t>P310: Негайно зателефонуйте в ТОКСИКОЛОГІЧНИЙ ЦЕНТР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P302+P352: ПРИ ПОПАДАННІ НА ШКІРУ: промити великою кількістю води з милом. У разі подразнення шкіри або висипу</w:t>
      </w:r>
    </w:p>
    <w:p>
      <w:pPr>
        <w:pStyle w:val="Normal"/>
        <w:spacing w:lineRule="auto" w:line="240" w:before="0" w:after="0"/>
        <w:rPr>
          <w:rFonts w:ascii="Arial Narrow" w:hAnsi="Arial Narrow"/>
          <w:sz w:val="20"/>
          <w:szCs w:val="20"/>
        </w:rPr>
      </w:pPr>
      <w:r>
        <w:rPr>
          <w:rFonts w:ascii="Arial Narrow" w:hAnsi="Arial Narrow"/>
          <w:sz w:val="20"/>
          <w:szCs w:val="20"/>
        </w:rPr>
        <w:t>P333+P313: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t>P304+P340: У РАЗІ ВДИХАННЯ: виведіть людину на свіже повітря та займіть положення, яке полегшує дихання.</w:t>
      </w:r>
    </w:p>
    <w:p>
      <w:pPr>
        <w:pStyle w:val="Normal"/>
        <w:spacing w:lineRule="auto" w:line="240" w:before="0" w:after="0"/>
        <w:rPr>
          <w:rFonts w:ascii="Arial Narrow" w:hAnsi="Arial Narrow"/>
          <w:sz w:val="20"/>
          <w:szCs w:val="20"/>
        </w:rPr>
      </w:pPr>
      <w:r>
        <w:rPr>
          <w:rFonts w:ascii="Arial Narrow" w:hAnsi="Arial Narrow"/>
          <w:sz w:val="20"/>
          <w:szCs w:val="20"/>
        </w:rPr>
        <w:t>P312 Якщо ви почуваєтесь погано, зверніться до ТОКСИКОЛОГІЧНОГО ЦЕНТРУ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P501 Утилізуйте вміст / упаковку в пункті збору, призначеному відповідно до місцевих правил.</w:t>
      </w:r>
    </w:p>
    <w:p>
      <w:pPr>
        <w:pStyle w:val="Normal"/>
        <w:spacing w:lineRule="auto" w:line="240" w:before="0" w:after="0"/>
        <w:rPr>
          <w:rFonts w:ascii="Arial Narrow" w:hAnsi="Arial Narrow"/>
          <w:sz w:val="20"/>
          <w:szCs w:val="20"/>
        </w:rPr>
      </w:pPr>
      <w:r>
        <w:rPr>
          <w:rFonts w:ascii="Arial Narrow" w:hAnsi="Arial Narrow"/>
          <w:sz w:val="20"/>
          <w:szCs w:val="20"/>
        </w:rPr>
        <w:t>Небезпечні інгредієнти: портландцемент, гідроксид кальцію.</w:t>
      </w:r>
    </w:p>
    <w:p>
      <w:pPr>
        <w:pStyle w:val="Normal"/>
        <w:spacing w:lineRule="auto" w:line="240" w:before="0" w:after="0"/>
        <w:rPr>
          <w:rFonts w:ascii="Arial Narrow" w:hAnsi="Arial Narrow"/>
          <w:sz w:val="20"/>
          <w:szCs w:val="20"/>
        </w:rPr>
      </w:pPr>
      <w:r>
        <w:rPr>
          <w:rFonts w:ascii="Arial Narrow" w:hAnsi="Arial Narrow"/>
          <w:sz w:val="20"/>
          <w:szCs w:val="20"/>
        </w:rPr>
        <w:t>Додаткова інформація: Волога суміш може пошкодити вироби з алюмінію та інших недорогоцінних металів.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Додаткова інформація про небезпеку: не застосовується</w:t>
      </w:r>
    </w:p>
    <w:p>
      <w:pPr>
        <w:pStyle w:val="Normal"/>
        <w:spacing w:lineRule="auto" w:line="240" w:before="0" w:after="0"/>
        <w:rPr>
          <w:rFonts w:ascii="Arial Narrow" w:hAnsi="Arial Narrow"/>
          <w:b/>
          <w:b/>
          <w:sz w:val="20"/>
          <w:szCs w:val="20"/>
        </w:rPr>
      </w:pPr>
      <w:r>
        <w:rPr>
          <w:rFonts w:ascii="Arial Narrow" w:hAnsi="Arial Narrow"/>
          <w:b/>
          <w:sz w:val="20"/>
          <w:szCs w:val="20"/>
        </w:rPr>
        <w:t>Відчутне попередження для сліпих: ні</w:t>
      </w:r>
    </w:p>
    <w:p>
      <w:pPr>
        <w:pStyle w:val="Normal"/>
        <w:spacing w:lineRule="auto" w:line="240" w:before="0" w:after="0"/>
        <w:rPr>
          <w:rFonts w:ascii="Arial Narrow" w:hAnsi="Arial Narrow"/>
          <w:b/>
          <w:b/>
          <w:sz w:val="20"/>
          <w:szCs w:val="20"/>
        </w:rPr>
      </w:pPr>
      <w:r>
        <w:rPr>
          <w:rFonts w:ascii="Arial Narrow" w:hAnsi="Arial Narrow"/>
          <w:b/>
          <w:sz w:val="20"/>
          <w:szCs w:val="20"/>
        </w:rPr>
        <w:t>Закриття від дітей: немає</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Ще одна небезпека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Повторний контакт, особливо вологого препарату з незахищеною шкірою, може викликати подразнення шкіри (подразнювальний контактний дерматит), а у деяких людей може розвинутися алергічний контактний дерматит.</w:t>
      </w:r>
    </w:p>
    <w:p>
      <w:pPr>
        <w:pStyle w:val="Normal"/>
        <w:spacing w:lineRule="auto" w:line="240" w:before="0" w:after="0"/>
        <w:rPr>
          <w:rFonts w:ascii="Arial Narrow" w:hAnsi="Arial Narrow"/>
          <w:sz w:val="20"/>
          <w:szCs w:val="20"/>
        </w:rPr>
      </w:pPr>
      <w:r>
        <w:rPr>
          <w:rFonts w:ascii="Arial Narrow" w:hAnsi="Arial Narrow"/>
          <w:sz w:val="20"/>
          <w:szCs w:val="20"/>
        </w:rPr>
        <w:t>Після змішування з водою утворюється сильнолужна суміш, яка здатна роз'їдати алюміній або пошкоджувати водні організми або рослини при високому pH. Суміш не відповідає критеріям PBT або vPvB відповідно до Додатку XIII Регламенту ЄС 1907/. 2006 рік.</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3. СКЛАД / ІНФОРМАЦІЯ ПРО ІНГРЕДІЄНТИ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Речовини: продукт є сумішшю</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суміші: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Суха штукатурно-розчинна суміш</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 містить такі небезпечні речовини: портландцемент сірий; гідроксид кальцію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6"/>
        <w:gridCol w:w="2015"/>
        <w:gridCol w:w="1984"/>
        <w:gridCol w:w="2046"/>
        <w:gridCol w:w="2029"/>
      </w:tblGrid>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Хімічна назва:</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EC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Індексний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Реєстраційний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Вміст у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Класифікація відповідно до директиви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попередження про небезпеку, фрази R</w:t>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Класифікація відповідно до регламенту (ЄС) 1272/2008: </w:t>
            </w:r>
            <w:r>
              <w:rPr>
                <w:rFonts w:ascii="Arial Narrow" w:hAnsi="Arial Narrow"/>
                <w:sz w:val="16"/>
                <w:szCs w:val="16"/>
              </w:rPr>
              <w:t>код класу та категорія небезпеки H речення</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Портландцемент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подразливий,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сенсибілізуючий,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Подразнення шкіри.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Пошкодження ока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Кальцію гідроксид</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подразливий,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сенсибілізуючий,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Подразнення шкіри.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Пошкодження ока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Повний текст R-фраз і H-фраз див. у розділі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4. ІНСТРУКЦІЯ З НАДАННЯ ПЕРШОЇ ДОПОМОГИ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 першої допомоги</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Загальні вказівки: </w:t>
      </w:r>
      <w:r>
        <w:rPr>
          <w:rFonts w:ascii="Arial Narrow" w:hAnsi="Arial Narrow"/>
          <w:sz w:val="20"/>
          <w:szCs w:val="20"/>
        </w:rPr>
        <w:t>Негайна медична допомога зазвичай не потрібна. Якщо після роботи з препаратом виникають проблеми зі здоров’ям, у разі сумнівів або у разі постійних проблем, зверніться за медичною допомогою та пред’явіть цю картку або етикетку. Необхідно завжди стежити за тим, щоб постраждала людина перебувала в спокої та не допускала застуди.</w:t>
      </w:r>
    </w:p>
    <w:p>
      <w:pPr>
        <w:pStyle w:val="Normal"/>
        <w:spacing w:lineRule="auto" w:line="240" w:before="0" w:after="0"/>
        <w:jc w:val="both"/>
        <w:rPr>
          <w:rFonts w:ascii="Arial Narrow" w:hAnsi="Arial Narrow"/>
          <w:sz w:val="20"/>
          <w:szCs w:val="20"/>
        </w:rPr>
      </w:pPr>
      <w:r>
        <w:rPr>
          <w:rFonts w:ascii="Arial Narrow" w:hAnsi="Arial Narrow"/>
          <w:sz w:val="20"/>
          <w:szCs w:val="20"/>
        </w:rPr>
        <w:t>У разі втрати свідомості покладіть потерпілого в стабільне положення на бік, трохи нахиливши голову, ні в якому разі не давайте нічого (рідини) в рот. Надавачі першої допомоги не потребують засобів індивідуального захисту, але повинні уникати контакту з вологою сумішшю. Повідомте лікаря про першу допомогу.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вдиханні:</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Перервати експозицію, вивести потерпілого на свіже повітря. Пил з горла і носової порожнини повинна виходити спонтанно. Якщо подразнення або нудота, кашель або інші стійкі симптоми зберігаються або розвиваються пізніше, зверніться за медичною допомогою.</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контакті зі шкірою:</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Зняти забруднений одяг, взуття. Якщо суміш висохла, зніміть її з шкіри і змийте великою кількістю води. У разі вологої суміші промити шкіру великою кількістю води. Якщо виникне будь-яке подразнення шкіри або печіння,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У разі потрапляння в очі: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Не терти очі, щоб не пошкодити рогівку через механічні пошкодження. Зняти контактні лінзи, якщо вони носяться. Нахиліть голову в бік ураженого ока, широко розкрийте повіки та негайно ретельно промийте око (очі) великою кількістю води протягом принаймні 30 хвилин, щоб видалити всі частинки. Уникайте потрапляння в уражене око. Якщо можливо, використовуйте ізотонічну воду (0,9% NaCl). Зверніться до профлікаря або офтальмолога.</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вживанні:</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викликати блювання, прополоскати рот водою, дати випити багато води. Зверніться за медичною допомогою або до токсикологічного інформаційного центру.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Найважливіші гострі та відстрочені симптоми та ефекти</w:t>
      </w:r>
    </w:p>
    <w:p>
      <w:pPr>
        <w:pStyle w:val="Normal"/>
        <w:spacing w:lineRule="auto" w:line="240" w:before="0" w:after="0"/>
        <w:rPr>
          <w:rFonts w:ascii="Arial Narrow" w:hAnsi="Arial Narrow"/>
          <w:i/>
          <w:i/>
          <w:sz w:val="20"/>
          <w:szCs w:val="20"/>
        </w:rPr>
      </w:pPr>
      <w:r>
        <w:rPr>
          <w:rFonts w:ascii="Arial Narrow" w:hAnsi="Arial Narrow"/>
          <w:i/>
          <w:sz w:val="20"/>
          <w:szCs w:val="20"/>
        </w:rPr>
        <w:t>(ефекти, які можна припустити через склад суміші)</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Контакт зі шкірою: цементна суміш може мати подразнюючу дію на шкіру після тривалого контакту (на вологу шкіру, наприклад, при потовиділенні або змочуванні шкіри) або може викликати шкірний дерматит після повторного контакту. Тривалий контакт шкіри з вологою сумішшю може викликати серйозні опіки (протравлення), які спочатку розвиваються безболісно.</w:t>
      </w:r>
    </w:p>
    <w:p>
      <w:pPr>
        <w:pStyle w:val="Normal"/>
        <w:spacing w:lineRule="auto" w:line="240" w:before="0" w:after="0"/>
        <w:rPr>
          <w:rFonts w:ascii="Arial Narrow" w:hAnsi="Arial Narrow"/>
          <w:i/>
          <w:i/>
          <w:sz w:val="20"/>
          <w:szCs w:val="20"/>
        </w:rPr>
      </w:pPr>
      <w:r>
        <w:rPr>
          <w:rFonts w:ascii="Arial Narrow" w:hAnsi="Arial Narrow"/>
          <w:i/>
          <w:sz w:val="20"/>
          <w:szCs w:val="20"/>
        </w:rPr>
        <w:t>Попадання в очі: контакт цементної суміші з очима може спричинити серйозне та потенційно незворотне пошкодження очей.</w:t>
      </w:r>
    </w:p>
    <w:p>
      <w:pPr>
        <w:pStyle w:val="Normal"/>
        <w:spacing w:lineRule="auto" w:line="240" w:before="0" w:after="0"/>
        <w:rPr>
          <w:rFonts w:ascii="Arial Narrow" w:hAnsi="Arial Narrow"/>
          <w:i/>
          <w:i/>
          <w:sz w:val="20"/>
          <w:szCs w:val="20"/>
        </w:rPr>
      </w:pPr>
      <w:r>
        <w:rPr>
          <w:rFonts w:ascii="Arial Narrow" w:hAnsi="Arial Narrow"/>
          <w:i/>
          <w:sz w:val="20"/>
          <w:szCs w:val="20"/>
        </w:rPr>
        <w:t>Вдихання: Тривале або повторне вдихання підвищує ризик розвитку захворювань легенів.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Показання до будь-якої негайної медичної допомоги та спеціального лікування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Під час візиту до лікаря візьміть із собою листок безпеки.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5. Протипожежні заходи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Вогнегасник</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Відповідні вогнегасні засоби:</w:t>
      </w:r>
      <w:r>
        <w:rPr/>
        <w:t xml:space="preserve"> </w:t>
      </w:r>
      <w:r>
        <w:rPr>
          <w:rFonts w:ascii="Arial Narrow" w:hAnsi="Arial Narrow"/>
          <w:sz w:val="20"/>
          <w:szCs w:val="20"/>
        </w:rPr>
        <w:t>Продукт негорючий. Для гасіння навколишніх пожеж вибирайте вогнегасний засіб з урахуванням екологічності.</w:t>
      </w:r>
    </w:p>
    <w:p>
      <w:pPr>
        <w:pStyle w:val="Normal"/>
        <w:spacing w:lineRule="auto" w:line="240" w:before="0" w:after="0"/>
        <w:rPr/>
      </w:pPr>
      <w:r>
        <w:rPr>
          <w:rFonts w:ascii="Arial Narrow" w:hAnsi="Arial Narrow"/>
          <w:b/>
          <w:sz w:val="20"/>
          <w:szCs w:val="20"/>
        </w:rPr>
        <w:t xml:space="preserve">Невідповідні засоби пожежогасіння: </w:t>
      </w:r>
      <w:r>
        <w:rPr/>
        <w:t xml:space="preserve">Струмінь води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Особлива безпека речовини або суміші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Вони не відомі. Суміш не горюча і вибухонебезпечна, не підтримує горіння інших матеріалів.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Поради для пожежників</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Використовуйте автономні дихальні апарати та, як правило, засоби пожежогасіння (уникайте контакту зі шкірою та очима). Запобігайте витоку води або суміші для гасіння в каналізацію та водні шляхи.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6. ЗАХОДИ ПРИ АВАРІЙНОМУ ВИКИДІ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Заходи індивідуального захисту, засоби захисту та дії в надзвичайних ситуаціях</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Не дозволяйте особам, які не беруть участь у ліквідації наслідків розливу, пересуватися в місцях, де вони можуть бути забруднені пролитим продуктом. Забезпечити безпротягову вентиляцію всередині будівель. Під час очищення вибирайте процедури, які не збільшують утворення пилового аерозолю (див. розділ 6.3). При використанні вологих процедур неочищена підлога або підкладка можуть стати слизькими. Під час роботи використовуйте рекомендовані засоби індивідуального захисту (див. розділ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Заходи щодо охорони навколишнього середовища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Запобігайте витоку та поширенню розлитого матеріалу. По можливості тримайте матеріал сухим. Якщо можливо, накрийте місце, щоб уникнути зайвої небезпеки пилу. Запобігайте неконтрольованому витоку у водні шляхи та каналізацію (підвищення рН). Про будь-який великий розлив у водні шляхи необхідно повідомляти Агентство з навколишнього середовища або інший відповідальний орган.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Методи та матеріали для локалізації та очищення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Зберіть розсипаний сухий матеріал механічним способом і, якщо він не забруднений, використайте його повторно. Використовуйте такі методи сухого прибирання, як пилосос або пилосос (за допомогою повітряних фільтрів). Не використовуйте стиснене повітря.</w:t>
      </w:r>
    </w:p>
    <w:p>
      <w:pPr>
        <w:pStyle w:val="Normal"/>
        <w:spacing w:lineRule="auto" w:line="240" w:before="0" w:after="0"/>
        <w:rPr>
          <w:rFonts w:ascii="Arial Narrow" w:hAnsi="Arial Narrow"/>
          <w:sz w:val="20"/>
          <w:szCs w:val="20"/>
        </w:rPr>
      </w:pPr>
      <w:r>
        <w:rPr>
          <w:rFonts w:ascii="Arial Narrow" w:hAnsi="Arial Narrow"/>
          <w:sz w:val="20"/>
          <w:szCs w:val="20"/>
        </w:rPr>
        <w:t>Також можна використовувати вологе прибирання (розпиленням води або туманом), щоб запобігти підйому пилу, витерти пил і видалити утворився мул. Таким же чином видаліть вологу суміш. Дайте осаду застигнути та видаліть його відповідно до розділу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Посилання на інші частини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Дивіться розділ 8 щодо засобів індивідуального захисту.</w:t>
      </w:r>
    </w:p>
    <w:p>
      <w:pPr>
        <w:pStyle w:val="Normal"/>
        <w:spacing w:lineRule="auto" w:line="240" w:before="0" w:after="0"/>
        <w:rPr>
          <w:rFonts w:ascii="Arial Narrow" w:hAnsi="Arial Narrow"/>
          <w:sz w:val="20"/>
          <w:szCs w:val="20"/>
        </w:rPr>
      </w:pPr>
      <w:r>
        <w:rPr>
          <w:rFonts w:ascii="Arial Narrow" w:hAnsi="Arial Narrow"/>
          <w:sz w:val="20"/>
          <w:szCs w:val="20"/>
        </w:rPr>
        <w:t>Дивіться розділ 13 щодо утилізації відходів.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7. ТРАНСПОРТУВАННЯ ТА ЗБЕРІГАННЯ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Запобіжні заходи щодо безпечного поводження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Прочитайте інструкцію із застосування. При роботі з сухою сумішшю не вдихати пил, працювати в добре провітрюваних приміщеннях, використовувати засоби захисту від вдихання пилу (див. розділ 8). Уникайте контакту з очима та шкірою при роботі з сухою або вологою сумішшю, використовуючи засоби індивідуального захисту (див. розділ 8).</w:t>
      </w:r>
    </w:p>
    <w:p>
      <w:pPr>
        <w:pStyle w:val="Normal"/>
        <w:spacing w:lineRule="auto" w:line="240" w:before="0" w:after="0"/>
        <w:jc w:val="both"/>
        <w:rPr>
          <w:rFonts w:ascii="Arial Narrow" w:hAnsi="Arial Narrow"/>
          <w:sz w:val="20"/>
          <w:szCs w:val="20"/>
        </w:rPr>
      </w:pPr>
      <w:r>
        <w:rPr>
          <w:rFonts w:ascii="Arial Narrow" w:hAnsi="Arial Narrow"/>
          <w:sz w:val="20"/>
          <w:szCs w:val="20"/>
        </w:rPr>
        <w:t>Тримайте робочі інструменти в чистоті в місцях, де вони контактують з вашими руками. Робочий одяг і засоби захисту, забруднені настільки, що суміш проникає на поверхню шкіри, або волога просочується всередину засобів захисту або робочого одягу, якомога швидше замініть їх на чисті та сухі.</w:t>
      </w:r>
    </w:p>
    <w:p>
      <w:pPr>
        <w:pStyle w:val="Normal"/>
        <w:spacing w:lineRule="auto" w:line="240" w:before="0" w:after="0"/>
        <w:jc w:val="both"/>
        <w:rPr>
          <w:rFonts w:ascii="Arial Narrow" w:hAnsi="Arial Narrow"/>
          <w:sz w:val="20"/>
          <w:szCs w:val="20"/>
        </w:rPr>
      </w:pPr>
      <w:r>
        <w:rPr>
          <w:rFonts w:ascii="Arial Narrow" w:hAnsi="Arial Narrow"/>
          <w:sz w:val="20"/>
          <w:szCs w:val="20"/>
        </w:rPr>
        <w:t>Під час роботи не їсти, не пити і не палити, дотримуватись загальних заходів безпеки та гігієни при роботі з хімікатами.</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Інструкції щодо безпечного зберігання речовин і сумішей, включаючи будь-які несумісності</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Зберігати в оригінальній закритій упаковці, в сухому, захищеному від вологи місці, окремо від харчових продуктів, напоїв і кормів. Можливе заморожування продукту не вплине на його функціональність. 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Конкретне кінцеве використання / Конкретне кінцеве використання</w:t>
      </w:r>
    </w:p>
    <w:p>
      <w:pPr>
        <w:pStyle w:val="Normal"/>
        <w:spacing w:lineRule="auto" w:line="240" w:before="0" w:after="0"/>
        <w:rPr>
          <w:rFonts w:ascii="Arial Narrow" w:hAnsi="Arial Narrow"/>
          <w:sz w:val="20"/>
          <w:szCs w:val="20"/>
        </w:rPr>
      </w:pPr>
      <w:r>
        <w:rPr>
          <w:rFonts w:ascii="Arial Narrow" w:hAnsi="Arial Narrow"/>
          <w:sz w:val="20"/>
          <w:szCs w:val="20"/>
        </w:rPr>
        <w:t>це не згадується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8. КОНТРОЛЬ ВПЛИВУ/ІНДИВІДУАЛЬНИЙ ЗАХИСТ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Параметри контролю</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Суміш містить речовини, для яких у Словацькій Республіці згідно з постановою уряду № 361/2007 Зб., зі змінами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Хімічна назва</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Номер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(мг/м3)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НПК-П</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Примітка</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Портландцемент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Кальцію гідроксид</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Граничні значення впливу на робочому місці відповідно до директиви №. 2006/15 / EC - немає в списку</w:t>
      </w:r>
    </w:p>
    <w:p>
      <w:pPr>
        <w:pStyle w:val="Normal"/>
        <w:spacing w:lineRule="auto" w:line="240" w:before="0" w:after="0"/>
        <w:rPr>
          <w:rFonts w:ascii="Arial Narrow" w:hAnsi="Arial Narrow"/>
          <w:b/>
          <w:b/>
          <w:sz w:val="20"/>
          <w:szCs w:val="20"/>
        </w:rPr>
      </w:pPr>
      <w:r>
        <w:rPr>
          <w:rFonts w:ascii="Arial Narrow" w:hAnsi="Arial Narrow"/>
          <w:b/>
          <w:sz w:val="20"/>
          <w:szCs w:val="20"/>
        </w:rPr>
        <w:t>Граничні значення показників випробувань біологічного впливу в Постанові № 432/2003 зб.</w:t>
      </w:r>
    </w:p>
    <w:p>
      <w:pPr>
        <w:pStyle w:val="Normal"/>
        <w:spacing w:lineRule="auto" w:line="240" w:before="0" w:after="0"/>
        <w:rPr/>
      </w:pPr>
      <w:r>
        <w:rPr>
          <w:rFonts w:ascii="Arial Narrow" w:hAnsi="Arial Narrow"/>
          <w:b/>
          <w:sz w:val="20"/>
          <w:szCs w:val="20"/>
        </w:rPr>
        <w:t xml:space="preserve">Значення DNEL і PNEC: </w:t>
      </w:r>
      <w:r>
        <w:rPr>
          <w:rFonts w:ascii="Arial Narrow" w:hAnsi="Arial Narrow"/>
          <w:sz w:val="20"/>
          <w:szCs w:val="20"/>
        </w:rPr>
        <w:t>ще не доступні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Обмеження впливу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Щоб обмежити вплив, необхідно запобігти утворенню пилу. Крім того, рекомендується використовувати відповідне захисне спорядження. Необхідно використовувати засоби захисту очей (наприклад, захисні окуляри або щитки для обличчя), якщо характер і тип використання не можуть виключити потенційний контакт з очима (наприклад, закритий процес), додатковий захист обличчя, захисний одяг і захисне взуття.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Відповідні технічні заходи</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Забезпечте достатню вентиляцію робочого місця. або вентиляція. Якщо це неможливо, використовуйте засоби індивідуального захисту для захисту органів дихання. Роботу з сухими сумішами та прибирання робочого місця необхідно забезпечувати прийомами, що не сприяють підвищенню концентрації пилу в робочій атмосфері. При роботі з сухими сумішами поза будівельними об'єктами необхідно, щоб у разі вітру працівник рухався від місця витоку пилових частинок у повітря проти напрямку вітрового потоку. У випадку, якщо існує можливість контакту з очима під час роботи з продуктом, бажано забезпечити джерело води в межах досяжності для швидкого промивання очей.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Індивідуальні засоби захисту, в тому числі засоби індивідуального захисту</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а) Захист органів дихання</w:t>
      </w:r>
    </w:p>
    <w:p>
      <w:pPr>
        <w:pStyle w:val="Normal"/>
        <w:spacing w:lineRule="auto" w:line="240" w:before="0" w:after="0"/>
        <w:rPr>
          <w:rFonts w:ascii="Arial Narrow" w:hAnsi="Arial Narrow"/>
          <w:sz w:val="20"/>
          <w:szCs w:val="20"/>
        </w:rPr>
      </w:pPr>
      <w:r>
        <w:rPr>
          <w:rFonts w:ascii="Arial Narrow" w:hAnsi="Arial Narrow"/>
          <w:sz w:val="20"/>
          <w:szCs w:val="20"/>
        </w:rPr>
        <w:t>При відкритті упаковки із сухою сумішшю, висипанні її з упаковки або при перекладанні сухої суміші в робочі ємності, а також на початковому етапі при додаванні в суху суміш води необхідно використовувати маску або респіратор з пиловий фільтр з фактором захисту не менше 10.</w:t>
      </w:r>
    </w:p>
    <w:p>
      <w:pPr>
        <w:pStyle w:val="Normal"/>
        <w:spacing w:lineRule="auto" w:line="240" w:before="0" w:after="0"/>
        <w:rPr>
          <w:rFonts w:ascii="Arial Narrow" w:hAnsi="Arial Narrow"/>
          <w:b/>
          <w:b/>
          <w:sz w:val="20"/>
          <w:szCs w:val="20"/>
        </w:rPr>
      </w:pPr>
      <w:r>
        <w:rPr>
          <w:rFonts w:ascii="Arial Narrow" w:hAnsi="Arial Narrow"/>
          <w:b/>
          <w:sz w:val="20"/>
          <w:szCs w:val="20"/>
        </w:rPr>
        <w:t>б) Захист очей і обличчя</w:t>
      </w:r>
    </w:p>
    <w:p>
      <w:pPr>
        <w:pStyle w:val="Normal"/>
        <w:spacing w:lineRule="auto" w:line="240" w:before="0" w:after="0"/>
        <w:jc w:val="both"/>
        <w:rPr>
          <w:rFonts w:ascii="Arial Narrow" w:hAnsi="Arial Narrow"/>
          <w:sz w:val="20"/>
          <w:szCs w:val="20"/>
        </w:rPr>
      </w:pPr>
      <w:r>
        <w:rPr>
          <w:rFonts w:ascii="Arial Narrow" w:hAnsi="Arial Narrow"/>
          <w:sz w:val="20"/>
          <w:szCs w:val="20"/>
        </w:rPr>
        <w:t>Якщо при роботі з сухою сумішшю не використовується повнолицева захисна маска, то для запобігання потрапляння частинок пилу в очі слід використовувати щільні захисні окуляри. Використовувати захисні окуляри також необхідно при роботі з вологим розчином або клеєм, де є ризик розбризкування матеріалу. Особливо при киданні або нанесенні розчину вище рівня голови.</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Захист шкіри</w:t>
      </w:r>
    </w:p>
    <w:p>
      <w:pPr>
        <w:pStyle w:val="Normal"/>
        <w:spacing w:lineRule="auto" w:line="240" w:before="0" w:after="0"/>
        <w:jc w:val="both"/>
        <w:rPr>
          <w:rFonts w:ascii="Arial Narrow" w:hAnsi="Arial Narrow"/>
          <w:sz w:val="20"/>
          <w:szCs w:val="20"/>
        </w:rPr>
      </w:pPr>
      <w:r>
        <w:rPr>
          <w:rFonts w:ascii="Arial Narrow" w:hAnsi="Arial Narrow"/>
          <w:sz w:val="20"/>
          <w:szCs w:val="20"/>
        </w:rPr>
        <w:t>Оскільки і сухі, і вологі суміші подразнюють шкіру, вплив слід звести до мінімуму, наскільки це технічно можливо. Для роботи необхідно використовувати захисні рукавиці, стандартний повношкірний захисний спецодяг з щільно прилягаючими рукавами і штанами, що запобігають проникненню пилу, носіння стійкого до їдкого та пилозахисного впливу взуття.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Обмеження забруднення навколишнього середовища</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Переконайтеся, що упаковка закрита під час зберігання, обробки та транспортування. Захистіть місця зберігання від можливого витоку продукту в навколишнє середовище (у стічні води, воду та ґрунт - див. 6.2. Можливе витікання продукту. Не змивайте в каналізацію або водні шляхи). Рівень рН води, забрудненої продуктом, яка у великих кількостях може потрапляти в каналізацію, не повинен перевищувати 9.</w:t>
      </w:r>
    </w:p>
    <w:p>
      <w:pPr>
        <w:pStyle w:val="Normal"/>
        <w:spacing w:lineRule="auto" w:line="240" w:before="0" w:after="0"/>
        <w:rPr>
          <w:rFonts w:ascii="Arial Narrow" w:hAnsi="Arial Narrow"/>
          <w:sz w:val="20"/>
          <w:szCs w:val="20"/>
        </w:rPr>
      </w:pPr>
      <w:r>
        <w:rPr>
          <w:rFonts w:ascii="Arial Narrow" w:hAnsi="Arial Narrow"/>
          <w:sz w:val="20"/>
          <w:szCs w:val="20"/>
        </w:rPr>
        <w:t>Обладнати робочі місця та склади засобами для прибирання аварійного розливу.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9. ФІЗИЧНІ ТА ХІМІЧНІ ВЛАСТИВОСТІ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Агрегатний стан: </w:t>
        <w:tab/>
        <w:tab/>
        <w:tab/>
        <w:t>сипуча тверда речовина, порошок</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Колір: </w:t>
        <w:tab/>
        <w:tab/>
        <w:tab/>
        <w:tab/>
        <w:t>від сірого до майже білого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Запах: </w:t>
        <w:tab/>
        <w:tab/>
        <w:tab/>
        <w:tab/>
        <w:t>без запаху</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Значення pH: </w:t>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Точка плавлення / точка замерзання </w:t>
        <w:tab/>
        <w:tab/>
        <w:t>невідома</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Температура кипіння: </w:t>
        <w:tab/>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Температура спалаху: </w:t>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Швидкість випаровування: </w:t>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Займистість: </w:t>
        <w:tab/>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Вибухові властивості: </w:t>
        <w:tab/>
        <w:tab/>
        <w:tab/>
        <w:t>не вибуховий, верхня межа - невідомо, нижня межа - 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Окислювальні властивості: </w:t>
        <w:tab/>
        <w:tab/>
        <w:tab/>
        <w:t>невідомі</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Напруга пари: </w:t>
        <w:tab/>
        <w:tab/>
        <w:tab/>
        <w:tab/>
        <w:t>невідомо</w:t>
      </w:r>
    </w:p>
    <w:p>
      <w:pPr>
        <w:pStyle w:val="Normal"/>
        <w:spacing w:lineRule="auto" w:line="240" w:before="0" w:after="0"/>
        <w:ind w:left="567" w:right="0" w:hanging="0"/>
        <w:rPr/>
      </w:pPr>
      <w:r>
        <w:rPr>
          <w:rFonts w:ascii="Arial Narrow" w:hAnsi="Arial Narrow"/>
          <w:sz w:val="20"/>
          <w:szCs w:val="20"/>
        </w:rPr>
        <w:t xml:space="preserve">Відносна щільність (при 18 </w:t>
      </w:r>
      <w:r>
        <w:rPr>
          <w:rFonts w:ascii="Arial Narrow" w:hAnsi="Arial Narrow"/>
          <w:sz w:val="20"/>
          <w:szCs w:val="20"/>
          <w:vertAlign w:val="superscript"/>
        </w:rPr>
        <w:t xml:space="preserve">o </w:t>
      </w:r>
      <w:r>
        <w:rPr>
          <w:rFonts w:ascii="Arial Narrow" w:hAnsi="Arial Narrow"/>
          <w:sz w:val="20"/>
          <w:szCs w:val="20"/>
        </w:rPr>
        <w:t xml:space="preserve">C): </w:t>
        <w:tab/>
        <w:tab/>
        <w:t>невідомо</w:t>
      </w:r>
    </w:p>
    <w:p>
      <w:pPr>
        <w:pStyle w:val="Normal"/>
        <w:spacing w:lineRule="auto" w:line="240" w:before="0" w:after="0"/>
        <w:ind w:left="567" w:right="0" w:hanging="0"/>
        <w:rPr/>
      </w:pPr>
      <w:r>
        <w:rPr>
          <w:rFonts w:ascii="Arial Narrow" w:hAnsi="Arial Narrow"/>
          <w:sz w:val="20"/>
          <w:szCs w:val="20"/>
        </w:rPr>
        <w:t xml:space="preserve">Розчинність у воді (при 18 </w:t>
      </w:r>
      <w:r>
        <w:rPr>
          <w:rFonts w:ascii="Arial Narrow" w:hAnsi="Arial Narrow"/>
          <w:sz w:val="20"/>
          <w:szCs w:val="20"/>
          <w:vertAlign w:val="superscript"/>
        </w:rPr>
        <w:t xml:space="preserve">o </w:t>
      </w:r>
      <w:r>
        <w:rPr>
          <w:rFonts w:ascii="Arial Narrow" w:hAnsi="Arial Narrow"/>
          <w:sz w:val="20"/>
          <w:szCs w:val="20"/>
        </w:rPr>
        <w:t xml:space="preserve">C): </w:t>
        <w:tab/>
        <w:t>Малорозчинний у воді</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Жиророзчинність: </w:t>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Коефіцієнт розподілу н-октанол/вода: </w:t>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В'язкість: </w:t>
        <w:tab/>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Щільність пари: </w:t>
        <w:tab/>
        <w:tab/>
        <w:tab/>
        <w:t>невідомо</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Швидкість випаровування: </w:t>
        <w:tab/>
        <w:tab/>
        <w:t>невідомо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10. СТІЙКІСТЬ ТА РЕАКЦІЙНА ЗДАТНІСТЬ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Реактивність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змішуванні з водою утворюється сильнолужна суміш, яка поступово твердне. Після застигання всієї суміші утворюється стійка маса.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Хімічна стабільність</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За нормального використання продукт стабільний при зберіганні та поводженні згідно з інструкціями. Оберігати суміш від впливу води та вологості повітря. Розкладання не відбувається. Тримайте виріб сухим. Необхідно виключити контакт з несумісними матеріалами.</w:t>
      </w:r>
    </w:p>
    <w:p>
      <w:pPr>
        <w:pStyle w:val="Normal"/>
        <w:spacing w:lineRule="auto" w:line="240" w:before="0" w:after="0"/>
        <w:jc w:val="both"/>
        <w:rPr>
          <w:rFonts w:ascii="Arial Narrow" w:hAnsi="Arial Narrow"/>
          <w:sz w:val="20"/>
          <w:szCs w:val="20"/>
        </w:rPr>
      </w:pPr>
      <w:r>
        <w:rPr>
          <w:rFonts w:ascii="Arial Narrow" w:hAnsi="Arial Narrow"/>
          <w:sz w:val="20"/>
          <w:szCs w:val="20"/>
        </w:rPr>
        <w:t>Волога суміш є лужною/лужною і реагує з кислотами, солями амонію, алюмінієм або іншими неблагородними металами. Портландцемент розчиняється у фтористоводневій кислоті з утворенням їдкого тетрафториду кремнію. Портландцемент реагує з водою з утворенням силікатів і гідроксиду кальцію. Силікати в цементах реагують із сильними окислювачами, такими як фтор, фтористий бор, фтористий хлор, фтористий марганець і дифтористий кисень.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Можливість небезпечних реакцій</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Слід уникати безконтрольного використання алюмінієвої пудри, при взаємодії з цементом і гідроксидом кальцію утворюється / виділяється водень. Гідроксид кальцію екзотермічно реагує з кислотами. Після нагрівання вище 580 ° С гідроксид кальцію розкладається з утворенням оксиду кальцію (CaO) і води (H2O): Ca (OH) 2 -&gt; CaO + H2O. Оксид кальцію реагує з водою, виробляючи тепло. Це може бути небезпечно для легкозаймистих матеріалів.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Умови, яких слід уникати: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зберіганні зведіть до мінімуму вплив повітря та вологи, які можуть спричинити втрату якості продукту (злежування)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Несумісні матеріали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Кислоти, солі амонію, алюмінію або інших неблагородних металів.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Небезпечні продукти розкладання: </w:t>
      </w:r>
      <w:r>
        <w:rPr>
          <w:rFonts w:ascii="Arial Narrow" w:hAnsi="Arial Narrow"/>
          <w:sz w:val="20"/>
          <w:szCs w:val="20"/>
        </w:rPr>
        <w:t>викинути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11. ТОКСИКОЛОГІЧНА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Інформація про токсикологічні ефекти: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Людський досвід:</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Змішуючи суміш з водою або при зволоженні утворюється сильнолужна суміш з подразливою дією. Продукт у вигляді пилу та при змішуванні з водою подразнює кон’юнктиву та шкіру. Пил 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t>Високі концентрації пилу подразнюють органи дихання (кашель, чхання, задишка).</w:t>
      </w:r>
    </w:p>
    <w:p>
      <w:pPr>
        <w:pStyle w:val="Normal"/>
        <w:spacing w:lineRule="auto" w:line="240" w:before="0" w:after="0"/>
        <w:rPr>
          <w:rFonts w:ascii="Arial Narrow" w:hAnsi="Arial Narrow"/>
          <w:sz w:val="20"/>
          <w:szCs w:val="20"/>
        </w:rPr>
      </w:pPr>
      <w:r>
        <w:rPr>
          <w:rFonts w:ascii="Arial Narrow" w:hAnsi="Arial Narrow"/>
          <w:sz w:val="20"/>
          <w:szCs w:val="20"/>
        </w:rPr>
        <w:t>При контакті з очима суміш має подразнюючу дію, при масивному втручанні або недостатньому лікуванні (необхідне негайне промивання очей протягом декількох хвилин) можливе запалення очей аж до хімічних опіків, що може призвести до стійкого пошкодження очей (сліпоти) .</w:t>
      </w:r>
    </w:p>
    <w:p>
      <w:pPr>
        <w:pStyle w:val="Normal"/>
        <w:spacing w:lineRule="auto" w:line="240" w:before="0" w:after="0"/>
        <w:rPr>
          <w:rFonts w:ascii="Arial Narrow" w:hAnsi="Arial Narrow"/>
          <w:sz w:val="20"/>
          <w:szCs w:val="20"/>
        </w:rPr>
      </w:pPr>
      <w:r>
        <w:rPr>
          <w:rFonts w:ascii="Arial Narrow" w:hAnsi="Arial Narrow"/>
          <w:sz w:val="20"/>
          <w:szCs w:val="20"/>
        </w:rPr>
        <w:t>Повторний контакт переважно вологої суміші з незахищеною шкірою може спричинити подразнення шкіри (контактний дерматит). Дерматит проявляється свербінням запаленої шкіри. Шкіра виглядає червоною, лускатою та потрісканою.</w:t>
      </w:r>
    </w:p>
    <w:p>
      <w:pPr>
        <w:pStyle w:val="Normal"/>
        <w:spacing w:lineRule="auto" w:line="240" w:before="0" w:after="0"/>
        <w:rPr>
          <w:rFonts w:ascii="Arial Narrow" w:hAnsi="Arial Narrow"/>
          <w:sz w:val="20"/>
          <w:szCs w:val="20"/>
        </w:rPr>
      </w:pPr>
      <w:r>
        <w:rPr>
          <w:rFonts w:ascii="Arial Narrow" w:hAnsi="Arial Narrow"/>
          <w:sz w:val="20"/>
          <w:szCs w:val="20"/>
        </w:rPr>
        <w:t>Подразнюючий контактний дерматит спричинений сукупністю фізичних властивостей препарату (вологість, висока лужність і стирання).</w:t>
      </w:r>
    </w:p>
    <w:p>
      <w:pPr>
        <w:pStyle w:val="Normal"/>
        <w:spacing w:lineRule="auto" w:line="240" w:before="0" w:after="0"/>
        <w:rPr>
          <w:rFonts w:ascii="Arial Narrow" w:hAnsi="Arial Narrow"/>
          <w:sz w:val="20"/>
          <w:szCs w:val="20"/>
        </w:rPr>
      </w:pPr>
      <w:r>
        <w:rPr>
          <w:rFonts w:ascii="Arial Narrow" w:hAnsi="Arial Narrow"/>
          <w:sz w:val="20"/>
          <w:szCs w:val="20"/>
        </w:rPr>
        <w:t>Тривалий контакт мокрого цементу/цементної суміші зі шкірою з одночасним тертям може спричинити серйозні опіки.</w:t>
      </w:r>
    </w:p>
    <w:p>
      <w:pPr>
        <w:pStyle w:val="Normal"/>
        <w:spacing w:lineRule="auto" w:line="240" w:before="0" w:after="0"/>
        <w:rPr>
          <w:rFonts w:ascii="Arial Narrow" w:hAnsi="Arial Narrow"/>
          <w:sz w:val="20"/>
          <w:szCs w:val="20"/>
        </w:rPr>
      </w:pPr>
      <w:r>
        <w:rPr>
          <w:rFonts w:ascii="Arial Narrow" w:hAnsi="Arial Narrow"/>
          <w:sz w:val="20"/>
          <w:szCs w:val="20"/>
        </w:rPr>
        <w:t>Стан здоров’я погіршується через вплив. Вдихання цементного пилу може погіршити існуючі респіраторні захворювання або стан здоров’я, наприклад емфізему (набряк легенів) або астму, або наявні захворювання шкіри чи очей.</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Інформація про токсикологічні ефекти</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Гостра токсичність для компонентів:</w:t>
      </w:r>
    </w:p>
    <w:p>
      <w:pPr>
        <w:pStyle w:val="Normal"/>
        <w:spacing w:lineRule="auto" w:line="240" w:before="0" w:after="0"/>
        <w:rPr>
          <w:rFonts w:ascii="Arial Narrow" w:hAnsi="Arial Narrow"/>
          <w:sz w:val="20"/>
          <w:szCs w:val="20"/>
        </w:rPr>
      </w:pPr>
      <w:r>
        <w:rPr>
          <w:rFonts w:ascii="Arial Narrow" w:hAnsi="Arial Narrow"/>
          <w:sz w:val="20"/>
          <w:szCs w:val="20"/>
        </w:rPr>
        <w:t>Гідроксид кальцію, CAS 1305-62-0</w:t>
      </w:r>
    </w:p>
    <w:p>
      <w:pPr>
        <w:pStyle w:val="Normal"/>
        <w:spacing w:lineRule="auto" w:line="240" w:before="0" w:after="0"/>
        <w:rPr>
          <w:rFonts w:ascii="Arial Narrow" w:hAnsi="Arial Narrow"/>
          <w:sz w:val="20"/>
          <w:szCs w:val="20"/>
        </w:rPr>
      </w:pPr>
      <w:r>
        <w:rPr>
          <w:rFonts w:ascii="Arial Narrow" w:hAnsi="Arial Narrow"/>
          <w:sz w:val="20"/>
          <w:szCs w:val="20"/>
        </w:rPr>
        <w:t>Через рот: LD50 &gt; 2000 мг/кг (OECD 425, щур)</w:t>
      </w:r>
    </w:p>
    <w:p>
      <w:pPr>
        <w:pStyle w:val="Normal"/>
        <w:spacing w:lineRule="auto" w:line="240" w:before="0" w:after="0"/>
        <w:rPr>
          <w:rFonts w:ascii="Arial Narrow" w:hAnsi="Arial Narrow"/>
          <w:sz w:val="20"/>
          <w:szCs w:val="20"/>
        </w:rPr>
      </w:pPr>
      <w:r>
        <w:rPr>
          <w:rFonts w:ascii="Arial Narrow" w:hAnsi="Arial Narrow"/>
          <w:sz w:val="20"/>
          <w:szCs w:val="20"/>
        </w:rPr>
        <w:t>Дермальний: LD50 &gt; 2500 мг/кг (OECD 402, кролик)</w:t>
      </w:r>
    </w:p>
    <w:p>
      <w:pPr>
        <w:pStyle w:val="Normal"/>
        <w:spacing w:lineRule="auto" w:line="240" w:before="0" w:after="0"/>
        <w:rPr>
          <w:rFonts w:ascii="Arial Narrow" w:hAnsi="Arial Narrow"/>
          <w:sz w:val="20"/>
          <w:szCs w:val="20"/>
        </w:rPr>
      </w:pPr>
      <w:r>
        <w:rPr>
          <w:rFonts w:ascii="Arial Narrow" w:hAnsi="Arial Narrow"/>
          <w:sz w:val="20"/>
          <w:szCs w:val="20"/>
        </w:rPr>
        <w:t>Вдихання: дані відсутні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класифікації суміші було враховано значення pH вологої суміші (11 - 13,5), загальні межі концентрації компонентів суміші та інформацію з паспортів безпеки окремих компонентів із посиланням на літературу.</w:t>
      </w:r>
    </w:p>
    <w:p>
      <w:pPr>
        <w:pStyle w:val="Normal"/>
        <w:spacing w:lineRule="auto" w:line="240" w:before="0" w:after="0"/>
        <w:rPr>
          <w:rFonts w:ascii="Arial Narrow" w:hAnsi="Arial Narrow"/>
          <w:sz w:val="20"/>
          <w:szCs w:val="20"/>
        </w:rPr>
      </w:pPr>
      <w:r>
        <w:rPr>
          <w:rFonts w:ascii="Arial Narrow" w:hAnsi="Arial Narrow"/>
          <w:sz w:val="20"/>
          <w:szCs w:val="20"/>
        </w:rPr>
        <w:t>a) гостра токсичність: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б) подразнення: на основі властивостей окремих компонентів суміш класифікували:</w:t>
      </w:r>
    </w:p>
    <w:p>
      <w:pPr>
        <w:pStyle w:val="Normal"/>
        <w:spacing w:lineRule="auto" w:line="240" w:before="0" w:after="0"/>
        <w:rPr>
          <w:rFonts w:ascii="Arial Narrow" w:hAnsi="Arial Narrow"/>
          <w:sz w:val="20"/>
          <w:szCs w:val="20"/>
        </w:rPr>
      </w:pPr>
      <w:r>
        <w:rPr>
          <w:rFonts w:ascii="Arial Narrow" w:hAnsi="Arial Narrow"/>
          <w:sz w:val="20"/>
          <w:szCs w:val="20"/>
        </w:rPr>
        <w:t>Серйозне ураження очей, категорія 1 - Eye Dam. 1 (H318)</w:t>
      </w:r>
    </w:p>
    <w:p>
      <w:pPr>
        <w:pStyle w:val="Normal"/>
        <w:spacing w:lineRule="auto" w:line="240" w:before="0" w:after="0"/>
        <w:rPr>
          <w:rFonts w:ascii="Arial Narrow" w:hAnsi="Arial Narrow"/>
          <w:sz w:val="20"/>
          <w:szCs w:val="20"/>
        </w:rPr>
      </w:pPr>
      <w:r>
        <w:rPr>
          <w:rFonts w:ascii="Arial Narrow" w:hAnsi="Arial Narrow"/>
          <w:sz w:val="20"/>
          <w:szCs w:val="20"/>
        </w:rPr>
        <w:t>Подразнення шкіри, категорія 2 - Skin Irrit. 2 (H315)</w:t>
      </w:r>
    </w:p>
    <w:p>
      <w:pPr>
        <w:pStyle w:val="Normal"/>
        <w:spacing w:lineRule="auto" w:line="240" w:before="0" w:after="0"/>
        <w:rPr>
          <w:rFonts w:ascii="Arial Narrow" w:hAnsi="Arial Narrow"/>
          <w:sz w:val="20"/>
          <w:szCs w:val="20"/>
        </w:rPr>
      </w:pPr>
      <w:r>
        <w:rPr>
          <w:rFonts w:ascii="Arial Narrow" w:hAnsi="Arial Narrow"/>
          <w:sz w:val="20"/>
          <w:szCs w:val="20"/>
        </w:rPr>
        <w:t>c) корозійна активність: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г) сенсибілізація: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e) токсичність повторної дози: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f) канцерогенність: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g) мутагенність: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h) репродуктивна токсичність: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i) Токсичність для певного органу-мішені - одноразовий вплив: на основі властивостей окремих компонентів суміш було класифіковано:</w:t>
      </w:r>
    </w:p>
    <w:p>
      <w:pPr>
        <w:pStyle w:val="Normal"/>
        <w:spacing w:lineRule="auto" w:line="240" w:before="0" w:after="0"/>
        <w:rPr>
          <w:rFonts w:ascii="Arial Narrow" w:hAnsi="Arial Narrow"/>
          <w:sz w:val="20"/>
          <w:szCs w:val="20"/>
        </w:rPr>
      </w:pPr>
      <w:r>
        <w:rPr>
          <w:rFonts w:ascii="Arial Narrow" w:hAnsi="Arial Narrow"/>
          <w:sz w:val="20"/>
          <w:szCs w:val="20"/>
        </w:rPr>
        <w:t>Специфічна токсичність для органів-мішеней - одноразовий вплив, подразнення дихальних шляхів - STOT SE 3 (H335)</w:t>
      </w:r>
    </w:p>
    <w:p>
      <w:pPr>
        <w:pStyle w:val="Normal"/>
        <w:spacing w:lineRule="auto" w:line="240" w:before="0" w:after="0"/>
        <w:rPr>
          <w:rFonts w:ascii="Arial Narrow" w:hAnsi="Arial Narrow"/>
          <w:sz w:val="20"/>
          <w:szCs w:val="20"/>
        </w:rPr>
      </w:pPr>
      <w:r>
        <w:rPr>
          <w:rFonts w:ascii="Arial Narrow" w:hAnsi="Arial Narrow"/>
          <w:sz w:val="20"/>
          <w:szCs w:val="20"/>
        </w:rPr>
        <w:t>j) Токсичність для певного органу-мішені - повторний вплив: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k) Небезпека аспірації: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12. ЕКОЛОГІЧНА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Змішування продукту з водою підвищить значення pH (11 - 13,5), суміш є сильно лужною і може становити короткочасну небезпеку для водних організмів. Значення pH залежить від концентрації продукту у воді. Значення рН швидко знижується через розведення. Після застигання продукту у воді або вологості повітря продукт не становить небезпеки для водних організмів навіть на короткий час. Запобігайте забрудненню ґрунту та потраплянню в поверхневі або ґрунтові води, каналізацію, водні шляхи та навколишнє середовище.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Токсичність - гострі та хронічні ефекти:</w:t>
      </w:r>
    </w:p>
    <w:p>
      <w:pPr>
        <w:pStyle w:val="Normal"/>
        <w:spacing w:lineRule="auto" w:line="240" w:before="0" w:after="0"/>
        <w:rPr>
          <w:rFonts w:ascii="Arial Narrow" w:hAnsi="Arial Narrow"/>
          <w:sz w:val="20"/>
          <w:szCs w:val="20"/>
        </w:rPr>
      </w:pP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t>Гідроксид кальцію, CAS 1305-62-0</w:t>
      </w:r>
    </w:p>
    <w:p>
      <w:pPr>
        <w:pStyle w:val="Normal"/>
        <w:spacing w:lineRule="auto" w:line="240" w:before="0" w:after="0"/>
        <w:rPr>
          <w:rFonts w:ascii="Arial Narrow" w:hAnsi="Arial Narrow"/>
          <w:sz w:val="20"/>
          <w:szCs w:val="20"/>
        </w:rPr>
      </w:pPr>
      <w:r>
        <w:rPr>
          <w:rFonts w:ascii="Arial Narrow" w:hAnsi="Arial Narrow"/>
          <w:sz w:val="20"/>
          <w:szCs w:val="20"/>
        </w:rPr>
        <w:t>LC50 (96 год) для прісноводної риби: 50,6 мг/л</w:t>
      </w:r>
    </w:p>
    <w:p>
      <w:pPr>
        <w:pStyle w:val="Normal"/>
        <w:spacing w:lineRule="auto" w:line="240" w:before="0" w:after="0"/>
        <w:rPr>
          <w:rFonts w:ascii="Arial Narrow" w:hAnsi="Arial Narrow"/>
          <w:sz w:val="20"/>
          <w:szCs w:val="20"/>
        </w:rPr>
      </w:pPr>
      <w:r>
        <w:rPr>
          <w:rFonts w:ascii="Arial Narrow" w:hAnsi="Arial Narrow"/>
          <w:sz w:val="20"/>
          <w:szCs w:val="20"/>
        </w:rPr>
        <w:t>LC50 (96 год) для морської риби: 457 мг/л</w:t>
      </w:r>
    </w:p>
    <w:p>
      <w:pPr>
        <w:pStyle w:val="Normal"/>
        <w:spacing w:lineRule="auto" w:line="240" w:before="0" w:after="0"/>
        <w:rPr>
          <w:rFonts w:ascii="Arial Narrow" w:hAnsi="Arial Narrow"/>
          <w:sz w:val="20"/>
          <w:szCs w:val="20"/>
        </w:rPr>
      </w:pPr>
      <w:r>
        <w:rPr>
          <w:rFonts w:ascii="Arial Narrow" w:hAnsi="Arial Narrow"/>
          <w:sz w:val="20"/>
          <w:szCs w:val="20"/>
        </w:rPr>
        <w:t>EC50 (48 год) для прісноводних безхребетних: 49,1 мг/л</w:t>
      </w:r>
    </w:p>
    <w:p>
      <w:pPr>
        <w:pStyle w:val="Normal"/>
        <w:spacing w:lineRule="auto" w:line="240" w:before="0" w:after="0"/>
        <w:rPr>
          <w:rFonts w:ascii="Arial Narrow" w:hAnsi="Arial Narrow"/>
          <w:sz w:val="20"/>
          <w:szCs w:val="20"/>
        </w:rPr>
      </w:pPr>
      <w:r>
        <w:rPr>
          <w:rFonts w:ascii="Arial Narrow" w:hAnsi="Arial Narrow"/>
          <w:sz w:val="20"/>
          <w:szCs w:val="20"/>
        </w:rPr>
        <w:t>LC50 (96 год) для морських безхребетних: 158 мг/л</w:t>
      </w:r>
    </w:p>
    <w:p>
      <w:pPr>
        <w:pStyle w:val="Normal"/>
        <w:spacing w:lineRule="auto" w:line="240" w:before="0" w:after="0"/>
        <w:rPr>
          <w:rFonts w:ascii="Arial Narrow" w:hAnsi="Arial Narrow"/>
          <w:sz w:val="20"/>
          <w:szCs w:val="20"/>
        </w:rPr>
      </w:pPr>
      <w:r>
        <w:rPr>
          <w:rFonts w:ascii="Arial Narrow" w:hAnsi="Arial Narrow"/>
          <w:sz w:val="20"/>
          <w:szCs w:val="20"/>
        </w:rPr>
        <w:t>EC50 (72 год) для прісноводних водоростей: 184,57 мг/л</w:t>
      </w:r>
    </w:p>
    <w:p>
      <w:pPr>
        <w:pStyle w:val="Normal"/>
        <w:spacing w:lineRule="auto" w:line="240" w:before="0" w:after="0"/>
        <w:rPr>
          <w:rFonts w:ascii="Arial Narrow" w:hAnsi="Arial Narrow"/>
          <w:sz w:val="20"/>
          <w:szCs w:val="20"/>
        </w:rPr>
      </w:pPr>
      <w:r>
        <w:rPr>
          <w:rFonts w:ascii="Arial Narrow" w:hAnsi="Arial Narrow"/>
          <w:sz w:val="20"/>
          <w:szCs w:val="20"/>
        </w:rPr>
        <w:t>NOEC (72 год) для морських водоростей: 48 мг/л</w:t>
      </w:r>
    </w:p>
    <w:p>
      <w:pPr>
        <w:pStyle w:val="Normal"/>
        <w:spacing w:lineRule="auto" w:line="240" w:before="0" w:after="0"/>
        <w:rPr>
          <w:rFonts w:ascii="Arial Narrow" w:hAnsi="Arial Narrow"/>
          <w:sz w:val="20"/>
          <w:szCs w:val="20"/>
        </w:rPr>
      </w:pPr>
      <w:r>
        <w:rPr>
          <w:rFonts w:ascii="Arial Narrow" w:hAnsi="Arial Narrow"/>
          <w:sz w:val="20"/>
          <w:szCs w:val="20"/>
        </w:rPr>
        <w:t>NOEC (14d) для морських безхребетних: 32 мг/л</w:t>
      </w:r>
    </w:p>
    <w:p>
      <w:pPr>
        <w:pStyle w:val="Normal"/>
        <w:spacing w:lineRule="auto" w:line="240" w:before="0" w:after="0"/>
        <w:rPr>
          <w:rFonts w:ascii="Arial Narrow" w:hAnsi="Arial Narrow"/>
          <w:sz w:val="20"/>
          <w:szCs w:val="20"/>
        </w:rPr>
      </w:pPr>
      <w:r>
        <w:rPr>
          <w:rFonts w:ascii="Arial Narrow" w:hAnsi="Arial Narrow"/>
          <w:sz w:val="20"/>
          <w:szCs w:val="20"/>
        </w:rPr>
        <w:t>EC10/LC10 або NOEC для ґрунтових мікроорганізмів: 2000 мг/кг сухого ґрунту</w:t>
      </w:r>
    </w:p>
    <w:p>
      <w:pPr>
        <w:pStyle w:val="Normal"/>
        <w:spacing w:lineRule="auto" w:line="240" w:before="0" w:after="0"/>
        <w:rPr>
          <w:rFonts w:ascii="Arial Narrow" w:hAnsi="Arial Narrow"/>
          <w:sz w:val="20"/>
          <w:szCs w:val="20"/>
        </w:rPr>
      </w:pPr>
      <w:r>
        <w:rPr>
          <w:rFonts w:ascii="Arial Narrow" w:hAnsi="Arial Narrow"/>
          <w:sz w:val="20"/>
          <w:szCs w:val="20"/>
        </w:rPr>
        <w:t>EC10/LC10 або NOEC для ґрунтових мікроорганізмів: 12000 мг/кг сухого ґрунту</w:t>
      </w:r>
    </w:p>
    <w:p>
      <w:pPr>
        <w:pStyle w:val="Normal"/>
        <w:spacing w:lineRule="auto" w:line="240" w:before="0" w:after="0"/>
        <w:rPr>
          <w:rFonts w:ascii="Arial Narrow" w:hAnsi="Arial Narrow"/>
          <w:sz w:val="20"/>
          <w:szCs w:val="20"/>
        </w:rPr>
      </w:pPr>
      <w:r>
        <w:rPr>
          <w:rFonts w:ascii="Arial Narrow" w:hAnsi="Arial Narrow"/>
          <w:sz w:val="20"/>
          <w:szCs w:val="20"/>
        </w:rPr>
        <w:t>NOEC (21d) peo наземні рослини: 1080 мг/кг</w:t>
      </w:r>
    </w:p>
    <w:p>
      <w:pPr>
        <w:pStyle w:val="Normal"/>
        <w:spacing w:lineRule="auto" w:line="240" w:before="0" w:after="0"/>
        <w:rPr>
          <w:rFonts w:ascii="Arial Narrow" w:hAnsi="Arial Narrow"/>
          <w:sz w:val="20"/>
          <w:szCs w:val="20"/>
        </w:rPr>
      </w:pPr>
      <w:r>
        <w:rPr>
          <w:rFonts w:ascii="Arial Narrow" w:hAnsi="Arial Narrow"/>
          <w:sz w:val="20"/>
          <w:szCs w:val="20"/>
        </w:rPr>
        <w:t>У високій концентрації гідроксид кальцію використовується для дезінфекції відпрацьованого осаду шляхом підвищення температури та pH.</w:t>
      </w:r>
    </w:p>
    <w:p>
      <w:pPr>
        <w:pStyle w:val="Normal"/>
        <w:spacing w:lineRule="auto" w:line="240" w:before="0" w:after="0"/>
        <w:rPr>
          <w:rFonts w:ascii="Arial Narrow" w:hAnsi="Arial Narrow"/>
          <w:sz w:val="20"/>
          <w:szCs w:val="20"/>
        </w:rPr>
      </w:pPr>
      <w:r>
        <w:rPr>
          <w:rFonts w:ascii="Arial Narrow" w:hAnsi="Arial Narrow"/>
          <w:sz w:val="20"/>
          <w:szCs w:val="20"/>
        </w:rPr>
        <w:t>Гострий ефект через зміну рН - хоча гідроксид кальцію використовується для регулювання кислотності води, вміст може бути збільшено більш ніж на 1 г / л, що є небезпечним для водних організмів. Рівень рН &gt; 12 швидко знижується через розведення та перетворення на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Стійкість і здатність до розкладання: </w:t>
      </w: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Біонакопичувальний потенціал:</w:t>
      </w:r>
      <w:r>
        <w:rPr/>
        <w:t xml:space="preserve"> </w:t>
      </w: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Рухливість у ґрунті:</w:t>
      </w:r>
      <w:r>
        <w:rPr/>
        <w:t xml:space="preserve"> </w:t>
      </w:r>
      <w:r>
        <w:rPr>
          <w:rFonts w:ascii="Arial Narrow" w:hAnsi="Arial Narrow"/>
          <w:sz w:val="20"/>
          <w:szCs w:val="20"/>
        </w:rPr>
        <w:t>не визначено для суміші, через природу окремих компонентів не очікується; після затвердіння продукту водою утворюється стійкий твердий продукт. Гідроксид кальцію сам по собі важко розчиняється у воді і демонструє низьку рухливість у більшості ґрунтів. Використовується, в тому числі, як добриво.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Результати оцінки PBT та vPvB: </w:t>
      </w:r>
      <w:r>
        <w:rPr>
          <w:rFonts w:ascii="Arial Narrow" w:hAnsi="Arial Narrow"/>
          <w:sz w:val="20"/>
          <w:szCs w:val="20"/>
        </w:rPr>
        <w:t>не містить речовин PBT або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Інші побічні ефекти: </w:t>
      </w:r>
      <w:r>
        <w:rPr>
          <w:rFonts w:ascii="Arial Narrow" w:hAnsi="Arial Narrow"/>
          <w:sz w:val="20"/>
          <w:szCs w:val="20"/>
        </w:rPr>
        <w:t>дані відсутні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13. ІНСТРУКЦІЇ З УТИЛІЗАЦІЇ</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Методи поводження з відходами (залишки суміші та забруднені водою суміші)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Відповідні методи видалення суміші та забрудненої упаковки Суміш (залишки) і порожню упаковку необхідно утилізувати відповідно до чинного законодавства як небезпечні відходи в місці, визначеному муніципалітетом для утилізації небезпечних відходів, або передати для утилізації професійно кваліфікована компанія. Відходи повинні бути захищені від витоку в навколишнє середовище. При роботі з відходами рекомендується використовувати засоби індивідуального захисту (див.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Пил: 10 13 06 Тверді забруднюючі речовини та пил (крім відходів, перелічених під номерами 10 13 12 та 10 13 13)</w:t>
      </w:r>
    </w:p>
    <w:p>
      <w:pPr>
        <w:pStyle w:val="Normal"/>
        <w:spacing w:lineRule="auto" w:line="240" w:before="0" w:after="0"/>
        <w:rPr>
          <w:rFonts w:ascii="Arial Narrow" w:hAnsi="Arial Narrow"/>
          <w:sz w:val="20"/>
          <w:szCs w:val="20"/>
        </w:rPr>
      </w:pPr>
      <w:r>
        <w:rPr>
          <w:rFonts w:ascii="Arial Narrow" w:hAnsi="Arial Narrow"/>
          <w:sz w:val="20"/>
          <w:szCs w:val="20"/>
        </w:rPr>
        <w:t>Невикористаний товар:</w:t>
      </w:r>
    </w:p>
    <w:p>
      <w:pPr>
        <w:pStyle w:val="Normal"/>
        <w:spacing w:lineRule="auto" w:line="240" w:before="0" w:after="0"/>
        <w:rPr>
          <w:rFonts w:ascii="Arial Narrow" w:hAnsi="Arial Narrow"/>
          <w:sz w:val="20"/>
          <w:szCs w:val="20"/>
        </w:rPr>
      </w:pPr>
      <w:r>
        <w:rPr>
          <w:rFonts w:ascii="Arial Narrow" w:hAnsi="Arial Narrow"/>
          <w:sz w:val="20"/>
          <w:szCs w:val="20"/>
        </w:rPr>
        <w:t>10 13 11 відходи композиційних матеріалів на основі цементу, крім зазначених у 10 13 09 та 10 13 10</w:t>
      </w:r>
    </w:p>
    <w:p>
      <w:pPr>
        <w:pStyle w:val="Normal"/>
        <w:spacing w:lineRule="auto" w:line="240" w:before="0" w:after="0"/>
        <w:rPr>
          <w:rFonts w:ascii="Arial Narrow" w:hAnsi="Arial Narrow"/>
          <w:sz w:val="20"/>
          <w:szCs w:val="20"/>
        </w:rPr>
      </w:pPr>
      <w:r>
        <w:rPr>
          <w:rFonts w:ascii="Arial Narrow" w:hAnsi="Arial Narrow"/>
          <w:sz w:val="20"/>
          <w:szCs w:val="20"/>
        </w:rPr>
        <w:t>10 13 14 Відходи бетону та бетонні шлами</w:t>
      </w:r>
    </w:p>
    <w:p>
      <w:pPr>
        <w:pStyle w:val="Normal"/>
        <w:spacing w:lineRule="auto" w:line="240" w:before="0" w:after="0"/>
        <w:rPr>
          <w:rFonts w:ascii="Arial Narrow" w:hAnsi="Arial Narrow"/>
          <w:sz w:val="20"/>
          <w:szCs w:val="20"/>
        </w:rPr>
      </w:pPr>
      <w:r>
        <w:rPr>
          <w:rFonts w:ascii="Arial Narrow" w:hAnsi="Arial Narrow"/>
          <w:sz w:val="20"/>
          <w:szCs w:val="20"/>
        </w:rPr>
        <w:t>Продукт після змішування з водою (і затвердіння): 17 01 01 Бетон</w:t>
      </w:r>
    </w:p>
    <w:p>
      <w:pPr>
        <w:pStyle w:val="Normal"/>
        <w:spacing w:lineRule="auto" w:line="240" w:before="0" w:after="0"/>
        <w:rPr>
          <w:rFonts w:ascii="Arial Narrow" w:hAnsi="Arial Narrow"/>
          <w:sz w:val="20"/>
          <w:szCs w:val="20"/>
        </w:rPr>
      </w:pPr>
      <w:r>
        <w:rPr>
          <w:rFonts w:ascii="Arial Narrow" w:hAnsi="Arial Narrow"/>
          <w:sz w:val="20"/>
          <w:szCs w:val="20"/>
        </w:rPr>
        <w:t>Упаковка: відповідно до конкретного виду упаковки, група упаковки 15 01 хх (переважно 15 01 01 до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Правові норми щодо відходів</w:t>
      </w:r>
    </w:p>
    <w:p>
      <w:pPr>
        <w:pStyle w:val="Normal"/>
        <w:spacing w:lineRule="auto" w:line="240" w:before="0" w:after="0"/>
        <w:rPr>
          <w:rFonts w:ascii="Arial Narrow" w:hAnsi="Arial Narrow"/>
          <w:sz w:val="20"/>
          <w:szCs w:val="20"/>
        </w:rPr>
      </w:pPr>
      <w:r>
        <w:rPr>
          <w:rFonts w:ascii="Arial Narrow" w:hAnsi="Arial Narrow"/>
          <w:sz w:val="20"/>
          <w:szCs w:val="20"/>
        </w:rPr>
        <w:t>Акт № 185/2001 зб. про відходи зі змінами та положення про його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Акт № 477/2001 Coll., на упаковці, зі змінами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14. ПІДГОТОВКА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Продукти не підпадають під значення § 22, абз. (1) Закон № 111 / 1994 Coll. про автомобільне перевезення небезпечних вантажів зі змінами та не підпадають під дію положень Європейської угоди про дорожнє перевезення небезпечних вантажів (ADR) або положень Правил міжнародних залізничних перевезень небезпечних вантажів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Номер ООН: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14.2 Правильна транспортна назва ООН: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14.3 Клас/класи небезпеки при транспортуванні: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14.4 Група упаковки: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14.5 Небезпека для навколишнього середовища: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14.6 Особливі заходи безпеки для користувача: не застосовуються</w:t>
      </w:r>
    </w:p>
    <w:p>
      <w:pPr>
        <w:pStyle w:val="Normal"/>
        <w:spacing w:lineRule="auto" w:line="240" w:before="0" w:after="0"/>
        <w:rPr>
          <w:rFonts w:ascii="Arial Narrow" w:hAnsi="Arial Narrow"/>
          <w:sz w:val="20"/>
          <w:szCs w:val="20"/>
        </w:rPr>
      </w:pPr>
      <w:r>
        <w:rPr>
          <w:rFonts w:ascii="Arial Narrow" w:hAnsi="Arial Narrow"/>
          <w:sz w:val="20"/>
          <w:szCs w:val="20"/>
        </w:rPr>
        <w:t>14.7 Перевезення наливних вантажів згідно з Додатком II до Конвенції MARPOL та Кодексу IBC: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15. НОРМАТИВНА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Норми безпеки, здоров'я та навколишнього середовища / законодавство, специфічне для речовини або суміші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Регламент ЄП та Ради (ЄС) №. 1907/2006 про реєстрацію, оцінку, авторизацію та обмеження хімічних речовин (REACH), зі змінами; Регламент Європейського Союзу та Ради (ЄС) №. 1272/2008 про класифікацію, маркування та пакування речовин і сумішей (CLP), зі змінами;</w:t>
      </w:r>
    </w:p>
    <w:p>
      <w:pPr>
        <w:pStyle w:val="Normal"/>
        <w:spacing w:lineRule="auto" w:line="240" w:before="0" w:after="0"/>
        <w:rPr>
          <w:rFonts w:ascii="Arial Narrow" w:hAnsi="Arial Narrow"/>
          <w:sz w:val="20"/>
          <w:szCs w:val="20"/>
        </w:rPr>
      </w:pPr>
      <w:r>
        <w:rPr>
          <w:rFonts w:ascii="Arial Narrow" w:hAnsi="Arial Narrow"/>
          <w:sz w:val="20"/>
          <w:szCs w:val="20"/>
        </w:rPr>
        <w:t>Директива 67/548 / EEC про наближення законодавства щодо класифікації, пакування та маркування небезпечних речовин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 / ЄС про наближення правових та адміністративних заходів держав-членів щодо класифікації, пакування та маркування небезпечних препаратів зі змінами (DPD);</w:t>
      </w:r>
    </w:p>
    <w:p>
      <w:pPr>
        <w:pStyle w:val="Normal"/>
        <w:spacing w:lineRule="auto" w:line="240" w:before="0" w:after="0"/>
        <w:rPr>
          <w:rFonts w:ascii="Arial Narrow" w:hAnsi="Arial Narrow"/>
          <w:sz w:val="20"/>
          <w:szCs w:val="20"/>
        </w:rPr>
      </w:pPr>
      <w:r>
        <w:rPr>
          <w:rFonts w:ascii="Arial Narrow" w:hAnsi="Arial Narrow"/>
          <w:sz w:val="20"/>
          <w:szCs w:val="20"/>
        </w:rPr>
        <w:t>Європейська угода про міжнародне дорожнє перевезення небезпечних вантажів (ADR)</w:t>
      </w:r>
    </w:p>
    <w:p>
      <w:pPr>
        <w:pStyle w:val="Normal"/>
        <w:spacing w:lineRule="auto" w:line="240" w:before="0" w:after="0"/>
        <w:rPr>
          <w:rFonts w:ascii="Arial Narrow" w:hAnsi="Arial Narrow"/>
          <w:sz w:val="20"/>
          <w:szCs w:val="20"/>
        </w:rPr>
      </w:pPr>
      <w:r>
        <w:rPr>
          <w:rFonts w:ascii="Arial Narrow" w:hAnsi="Arial Narrow"/>
          <w:sz w:val="20"/>
          <w:szCs w:val="20"/>
        </w:rPr>
        <w:t>Закон № 258/2000 зб. Про охорону здоров'я населення із змінами та доповненнями;</w:t>
      </w:r>
    </w:p>
    <w:p>
      <w:pPr>
        <w:pStyle w:val="Normal"/>
        <w:spacing w:lineRule="auto" w:line="240" w:before="0" w:after="0"/>
        <w:rPr>
          <w:rFonts w:ascii="Arial Narrow" w:hAnsi="Arial Narrow"/>
          <w:sz w:val="20"/>
          <w:szCs w:val="20"/>
        </w:rPr>
      </w:pPr>
      <w:r>
        <w:rPr>
          <w:rFonts w:ascii="Arial Narrow" w:hAnsi="Arial Narrow"/>
          <w:sz w:val="20"/>
          <w:szCs w:val="20"/>
        </w:rPr>
        <w:t>Закон 262/2006 Зб., Кодекс законів про працю зі змінами;</w:t>
      </w:r>
    </w:p>
    <w:p>
      <w:pPr>
        <w:pStyle w:val="Normal"/>
        <w:spacing w:lineRule="auto" w:line="240" w:before="0" w:after="0"/>
        <w:rPr>
          <w:rFonts w:ascii="Arial Narrow" w:hAnsi="Arial Narrow"/>
          <w:sz w:val="20"/>
          <w:szCs w:val="20"/>
        </w:rPr>
      </w:pPr>
      <w:r>
        <w:rPr>
          <w:rFonts w:ascii="Arial Narrow" w:hAnsi="Arial Narrow"/>
          <w:sz w:val="20"/>
          <w:szCs w:val="20"/>
        </w:rPr>
        <w:t>Урядова постанова № 361/2007 Зб., Встановлення умов для охорони здоров'я працівників на роботі, зі змінами; 201/2012 зб. про охорону атмосферного повітря та правила його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Закон № 185 / 2001 зб. про відходи, зі змінами та правилами його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Закон № 477/2001 зб. на упаковці зі змінами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Оцінка хімічної безпеки: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З метою реєстрації пилу від виробництва портландклінкеру проведено оцінку хімічної безпеки для ряду сценаріїв його використання, в тому числі сценаріїв використання в сухих розчинових сумішах. Усі суттєві висновки з оцінки цієї речовини, які також можуть бути застосовані до цементного клінкеру, включені в цей паспорт безпеки. Розчинні суміші є продуктом, призначеним для кінцевого використання, тому жодні інші сценарії впливу не додаються до паспорта безпеки.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РОЗДІЛ 16. ДОДАТКА ІНФОРМАЦІЯ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Шкідливий при вдиханні та проковтуванні</w:t>
      </w:r>
    </w:p>
    <w:p>
      <w:pPr>
        <w:pStyle w:val="Normal"/>
        <w:spacing w:lineRule="auto" w:line="240" w:before="0" w:after="0"/>
        <w:rPr>
          <w:rFonts w:ascii="Arial Narrow" w:hAnsi="Arial Narrow"/>
          <w:sz w:val="20"/>
          <w:szCs w:val="20"/>
        </w:rPr>
      </w:pPr>
      <w:r>
        <w:rPr>
          <w:rFonts w:ascii="Arial Narrow" w:hAnsi="Arial Narrow"/>
          <w:sz w:val="20"/>
          <w:szCs w:val="20"/>
        </w:rPr>
        <w:t>R 36 Подразнює очі</w:t>
      </w:r>
    </w:p>
    <w:p>
      <w:pPr>
        <w:pStyle w:val="Normal"/>
        <w:spacing w:lineRule="auto" w:line="240" w:before="0" w:after="0"/>
        <w:rPr>
          <w:rFonts w:ascii="Arial Narrow" w:hAnsi="Arial Narrow"/>
          <w:sz w:val="20"/>
          <w:szCs w:val="20"/>
        </w:rPr>
      </w:pPr>
      <w:r>
        <w:rPr>
          <w:rFonts w:ascii="Arial Narrow" w:hAnsi="Arial Narrow"/>
          <w:sz w:val="20"/>
          <w:szCs w:val="20"/>
        </w:rPr>
        <w:t>R 37 Подразнює дихальні шляхи</w:t>
      </w:r>
    </w:p>
    <w:p>
      <w:pPr>
        <w:pStyle w:val="Normal"/>
        <w:spacing w:lineRule="auto" w:line="240" w:before="0" w:after="0"/>
        <w:rPr>
          <w:rFonts w:ascii="Arial Narrow" w:hAnsi="Arial Narrow"/>
          <w:sz w:val="20"/>
          <w:szCs w:val="20"/>
        </w:rPr>
      </w:pPr>
      <w:r>
        <w:rPr>
          <w:rFonts w:ascii="Arial Narrow" w:hAnsi="Arial Narrow"/>
          <w:sz w:val="20"/>
          <w:szCs w:val="20"/>
        </w:rPr>
        <w:t>R 38 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R 41 Ризик серйозного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R 43 Може викликати сенсибілізацію при контакті зі шкірою</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Подразнює шкіру.</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Може викликати алергічну реакцію шкіри.</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Викликає серйозне пошкодження очей.</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Може викликати подразнення дихальних шляхів.</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P-речення:</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Якщо потрібна медична допомога, майте під рукою контейнер або етикетку виробника.</w:t>
      </w:r>
    </w:p>
    <w:p>
      <w:pPr>
        <w:pStyle w:val="Normal"/>
        <w:spacing w:lineRule="auto" w:line="240" w:before="0" w:after="0"/>
        <w:rPr>
          <w:rFonts w:ascii="Arial Narrow" w:hAnsi="Arial Narrow"/>
          <w:sz w:val="20"/>
          <w:szCs w:val="20"/>
        </w:rPr>
      </w:pPr>
      <w:r>
        <w:rPr>
          <w:rFonts w:ascii="Arial Narrow" w:hAnsi="Arial Narrow"/>
          <w:sz w:val="20"/>
          <w:szCs w:val="20"/>
        </w:rPr>
        <w:t>P102 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t>P261 Уникати вдихання пилу.</w:t>
      </w:r>
    </w:p>
    <w:p>
      <w:pPr>
        <w:pStyle w:val="Normal"/>
        <w:spacing w:lineRule="auto" w:line="240" w:before="0" w:after="0"/>
        <w:rPr>
          <w:rFonts w:ascii="Arial Narrow" w:hAnsi="Arial Narrow"/>
          <w:sz w:val="20"/>
          <w:szCs w:val="20"/>
        </w:rPr>
      </w:pPr>
      <w:r>
        <w:rPr>
          <w:rFonts w:ascii="Arial Narrow" w:hAnsi="Arial Narrow"/>
          <w:sz w:val="20"/>
          <w:szCs w:val="20"/>
        </w:rPr>
        <w:t>P280 Одягайте захисні рукавички/захисний одяг/захисні окуляри/щиток для обличчя.</w:t>
      </w:r>
    </w:p>
    <w:p>
      <w:pPr>
        <w:pStyle w:val="Normal"/>
        <w:spacing w:lineRule="auto" w:line="240" w:before="0" w:after="0"/>
        <w:rPr>
          <w:rFonts w:ascii="Arial Narrow" w:hAnsi="Arial Narrow"/>
          <w:sz w:val="20"/>
          <w:szCs w:val="20"/>
        </w:rPr>
      </w:pPr>
      <w:r>
        <w:rPr>
          <w:rFonts w:ascii="Arial Narrow" w:hAnsi="Arial Narrow"/>
          <w:sz w:val="20"/>
          <w:szCs w:val="20"/>
        </w:rPr>
        <w:t>P305 + P351 + P338: У РАЗІ ПОПАДАННЯ В ОЧІ: Обережно промийте водою протягом кількох хвилин. Зніміть контактні лінзи, якщо ви носите, і зніміть їх, якщо можливо. Продовжуйте полоскання.</w:t>
      </w:r>
    </w:p>
    <w:p>
      <w:pPr>
        <w:pStyle w:val="Normal"/>
        <w:spacing w:lineRule="auto" w:line="240" w:before="0" w:after="0"/>
        <w:rPr>
          <w:rFonts w:ascii="Arial Narrow" w:hAnsi="Arial Narrow"/>
          <w:sz w:val="20"/>
          <w:szCs w:val="20"/>
        </w:rPr>
      </w:pPr>
      <w:r>
        <w:rPr>
          <w:rFonts w:ascii="Arial Narrow" w:hAnsi="Arial Narrow"/>
          <w:sz w:val="20"/>
          <w:szCs w:val="20"/>
        </w:rPr>
        <w:t>P310: Негайно зателефонуйте в ТОКСИКОЛОГІЧНИЙ ЦЕНТР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P302 + P352: ПРИ ПОПАДАННІ НА ШКІРУ: промити великою кількістю води з милом. У разі подразнення шкіри або висипу</w:t>
      </w:r>
    </w:p>
    <w:p>
      <w:pPr>
        <w:pStyle w:val="Normal"/>
        <w:spacing w:lineRule="auto" w:line="240" w:before="0" w:after="0"/>
        <w:rPr>
          <w:rFonts w:ascii="Arial Narrow" w:hAnsi="Arial Narrow"/>
          <w:sz w:val="20"/>
          <w:szCs w:val="20"/>
        </w:rPr>
      </w:pPr>
      <w:r>
        <w:rPr>
          <w:rFonts w:ascii="Arial Narrow" w:hAnsi="Arial Narrow"/>
          <w:sz w:val="20"/>
          <w:szCs w:val="20"/>
        </w:rPr>
        <w:t>P333 + P313: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t>P304 + P340: У РАЗІ ВДИХАННЯ: виведіть людину на свіже повітря та потримайте її в положенні, яке полегшує дихання.</w:t>
      </w:r>
    </w:p>
    <w:p>
      <w:pPr>
        <w:pStyle w:val="Normal"/>
        <w:spacing w:lineRule="auto" w:line="240" w:before="0" w:after="0"/>
        <w:rPr>
          <w:rFonts w:ascii="Arial Narrow" w:hAnsi="Arial Narrow"/>
          <w:sz w:val="20"/>
          <w:szCs w:val="20"/>
        </w:rPr>
      </w:pPr>
      <w:r>
        <w:rPr>
          <w:rFonts w:ascii="Arial Narrow" w:hAnsi="Arial Narrow"/>
          <w:sz w:val="20"/>
          <w:szCs w:val="20"/>
        </w:rPr>
        <w:t>P312 Якщо ви почуваєтесь погано, зверніться до ТОКСИКОЛОГІЧНОГО ЦЕНТРУ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P501 Утилізуйте вміст / упаковку в пункті збору, призначеному відповідно до місцевих правил.</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Сторінка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з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Паспорт безпеки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з Додатком II REACH Регламент ЄС №. 1907/2006 та Регламент (ЄС) №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Створено: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uk-UA"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uk-UA"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uk-UA"/>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uk-UA"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uk-UA"/>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uk-UA"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uk-UA"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11</Pages>
  <Words>3709</Words>
  <Characters>23629</Characters>
  <CharactersWithSpaces>27104</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2025-01-22T09:30:39Z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