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Część 1. IDENTYFIKACJA SUBSTANCJI/MIESZANINY I FIRMY/DZIAŁALNOŚCI</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Identyfikator produktu:</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Nazwa produktu:</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Inne nazwy: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Opis chemiczny: Sucha mieszanka tynkarska, mieszanka cementu portlandzkiego i dodatki zgodnie z STN EN 998-1 Nazwa chemiczna Cement portlandzki Numer CAS: 65997-15-1 Numer WE (EINECS): 266-043-4, Wodorotlenek wapnia Numer CAS: 1305. - 620 Numer WE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Istotne zidentyfikowane zastosowania substancji lub mieszaniny oraz zastosowania: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Tynk przeznaczony jest do nakładania ręcznego lub maszynowego na zewnątrz lub wewnątrz budynków. Tynk charakteryzuje się dużą przyczepnością do podłoża, łatwością aplikacji, zmniejszoną nasiąkliwością powierzchniową i wydłużonym czasem obróbki. Tynk mrozoodporny, odporny na warunki atmosferyczne, charakteryzuje się długą żywotnością i niską nasiąkliwością.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Identyfikacja producenta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Wyprodukowano w UE dla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Strona internetowa: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Numer telefonu w sytuacjach awaryjnych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Centrum Informacji Toksykologicznej, Na bojišti 1, 128 08 Praga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SEKCJA 2. </w:t>
        <w:tab/>
        <w:tab/>
        <w:t>IDENTYFIKACJA ZAGROŻEŃ</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Klasyfikacja substancji lub mieszaniny: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Klasyfikacja zgodnie z rozporządzeniem (WE) nr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Podrażnienie skóry, kategoria 2: </w:t>
        <w:tab/>
        <w:t>H315 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 xml:space="preserve">Poważne uszkodzenie oczu, kategoria 1: </w:t>
        <w:tab/>
        <w:t>H318 Powoduje poważne uszkodzenie oczu.</w:t>
      </w:r>
    </w:p>
    <w:p>
      <w:pPr>
        <w:pStyle w:val="Normal"/>
        <w:spacing w:lineRule="auto" w:line="240" w:before="0" w:after="0"/>
        <w:rPr>
          <w:rFonts w:ascii="Arial Narrow" w:hAnsi="Arial Narrow"/>
          <w:sz w:val="20"/>
          <w:szCs w:val="20"/>
        </w:rPr>
      </w:pPr>
      <w:r>
        <w:rPr>
          <w:rFonts w:ascii="Arial Narrow" w:hAnsi="Arial Narrow"/>
          <w:sz w:val="20"/>
          <w:szCs w:val="20"/>
        </w:rPr>
        <w:t xml:space="preserve">Działanie uczulające na skórę, kategoria 1B, </w:t>
        <w:tab/>
        <w:t>H317 Może powodować reakcję alergiczną skóry.</w:t>
      </w:r>
    </w:p>
    <w:p>
      <w:pPr>
        <w:pStyle w:val="Normal"/>
        <w:spacing w:lineRule="auto" w:line="240" w:before="0" w:after="0"/>
        <w:rPr>
          <w:rFonts w:ascii="Arial Narrow" w:hAnsi="Arial Narrow"/>
          <w:sz w:val="20"/>
          <w:szCs w:val="20"/>
        </w:rPr>
      </w:pPr>
      <w:r>
        <w:rPr>
          <w:rFonts w:ascii="Arial Narrow" w:hAnsi="Arial Narrow"/>
          <w:sz w:val="20"/>
          <w:szCs w:val="20"/>
        </w:rPr>
        <w:t>Działanie toksyczne na narządy docelowe – narażenie jednorazowe, Kategoria 3, H335 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elementy znakujące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Symbol ostrzegawczy:</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3">
            <wp:simplePos x="0" y="0"/>
            <wp:positionH relativeFrom="column">
              <wp:posOffset>860425</wp:posOffset>
            </wp:positionH>
            <wp:positionV relativeFrom="paragraph">
              <wp:posOffset>48895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6pt;margin-top:3.85pt;width:65.2pt;height:65.2pt;mso-wrap-distance-right:0pt;mso-position-horizontal-relative:text;mso-position-vertical-relative:text" filled="f" o:ole="">
            <v:imagedata r:id="rId4" o:title=""/>
            <w10:wrap type="tight"/>
          </v:shape>
          <o:OLEObject Type="Embed" ProgID="" ShapeID="ole_rId3" DrawAspect="Content" ObjectID="_1932059214" r:id="rId3"/>
        </w:object>
      </w:r>
    </w:p>
    <w:p>
      <w:pPr>
        <w:pStyle w:val="Normal"/>
        <w:spacing w:lineRule="auto" w:line="240" w:before="0" w:after="0"/>
        <w:rPr>
          <w:rFonts w:ascii="Arial Narrow" w:hAnsi="Arial Narrow"/>
          <w:b/>
          <w:b/>
          <w:sz w:val="20"/>
          <w:szCs w:val="20"/>
        </w:rPr>
      </w:pPr>
      <w:r>
        <w:rPr>
          <w:rFonts w:ascii="Arial Narrow" w:hAnsi="Arial Narrow"/>
          <w:b/>
          <w:sz w:val="20"/>
          <w:szCs w:val="20"/>
        </w:rPr>
        <w:t>słowo ostrzegawcze:</w:t>
      </w:r>
    </w:p>
    <w:p>
      <w:pPr>
        <w:pStyle w:val="Normal"/>
        <w:spacing w:lineRule="auto" w:line="240" w:before="0" w:after="0"/>
        <w:rPr>
          <w:rFonts w:ascii="Arial Narrow" w:hAnsi="Arial Narrow"/>
          <w:sz w:val="20"/>
          <w:szCs w:val="20"/>
        </w:rPr>
      </w:pPr>
      <w:r>
        <w:rPr>
          <w:rFonts w:ascii="Arial Narrow" w:hAnsi="Arial Narrow"/>
          <w:sz w:val="20"/>
          <w:szCs w:val="20"/>
        </w:rPr>
        <w:t>Niebezpieczeństwo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Standardowe zwroty wskazujące rodzaj zagrożenia: </w:t>
      </w:r>
      <w:r>
        <w:rPr>
          <w:rFonts w:ascii="Arial Narrow" w:hAnsi="Arial Narrow"/>
          <w:sz w:val="16"/>
          <w:szCs w:val="16"/>
        </w:rPr>
        <w:t>Cement portlandzki ( CAS: 65997-15-1 )</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Powoduje poważne uszkodzenie oczu.</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Instrukcje dotyczące bezpiecznego postępowania:</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Jeżeli konieczna jest pomoc lekarska, należy udostępnić opakowanie lub etykietę producenta.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Chronić przed dziećmi.</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Unikać wdychania pyłu.</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Stosować rękawice ochronne/odzież ochronną/okulary ochronne/osłonę twarzy.</w:t>
      </w:r>
    </w:p>
    <w:p>
      <w:pPr>
        <w:pStyle w:val="Normal"/>
        <w:spacing w:lineRule="auto" w:line="240" w:before="0" w:after="0"/>
        <w:rPr>
          <w:rFonts w:ascii="Arial Narrow" w:hAnsi="Arial Narrow"/>
          <w:sz w:val="20"/>
          <w:szCs w:val="20"/>
        </w:rPr>
      </w:pPr>
      <w:r>
        <w:rPr>
          <w:rFonts w:ascii="Arial Narrow" w:hAnsi="Arial Narrow"/>
          <w:sz w:val="20"/>
          <w:szCs w:val="20"/>
        </w:rPr>
        <w:t>P305+P351+P338: W PRZYPADKU DOSTANIA SIĘ DO OCZU: Ostrożnie płukać wodą przez kilka minut. Wyjmij soczewki kontaktowe, jeśli są noszone i wyjmij je, jeśli to możliwe. Kontynuuj płukanie.</w:t>
      </w:r>
    </w:p>
    <w:p>
      <w:pPr>
        <w:pStyle w:val="Normal"/>
        <w:spacing w:lineRule="auto" w:line="240" w:before="0" w:after="0"/>
        <w:rPr>
          <w:rFonts w:ascii="Arial Narrow" w:hAnsi="Arial Narrow"/>
          <w:sz w:val="20"/>
          <w:szCs w:val="20"/>
        </w:rPr>
      </w:pPr>
      <w:r>
        <w:rPr>
          <w:rFonts w:ascii="Arial Narrow" w:hAnsi="Arial Narrow"/>
          <w:sz w:val="20"/>
          <w:szCs w:val="20"/>
        </w:rPr>
        <w:t>P310: Natychmiast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P302+P352: W PRZYPADKU KONTAKTU ZE SKÓRĄ: Umyć dużą ilością wody z mydłem. W przypadku podrażnienia skóry lub wysypki</w:t>
      </w:r>
    </w:p>
    <w:p>
      <w:pPr>
        <w:pStyle w:val="Normal"/>
        <w:spacing w:lineRule="auto" w:line="240" w:before="0" w:after="0"/>
        <w:rPr>
          <w:rFonts w:ascii="Arial Narrow" w:hAnsi="Arial Narrow"/>
          <w:sz w:val="20"/>
          <w:szCs w:val="20"/>
        </w:rPr>
      </w:pPr>
      <w:r>
        <w:rPr>
          <w:rFonts w:ascii="Arial Narrow" w:hAnsi="Arial Narrow"/>
          <w:sz w:val="20"/>
          <w:szCs w:val="20"/>
        </w:rPr>
        <w:t>P333+P313: Zapewnić pomoc lekarską.</w:t>
      </w:r>
    </w:p>
    <w:p>
      <w:pPr>
        <w:pStyle w:val="Normal"/>
        <w:spacing w:lineRule="auto" w:line="240" w:before="0" w:after="0"/>
        <w:rPr>
          <w:rFonts w:ascii="Arial Narrow" w:hAnsi="Arial Narrow"/>
          <w:sz w:val="20"/>
          <w:szCs w:val="20"/>
        </w:rPr>
      </w:pPr>
      <w:r>
        <w:rPr>
          <w:rFonts w:ascii="Arial Narrow" w:hAnsi="Arial Narrow"/>
          <w:sz w:val="20"/>
          <w:szCs w:val="20"/>
        </w:rPr>
        <w:t>P304+P340: W PRZYPADKU DOSTANIA SIĘ DO DRÓG ODDECHOWYCH: wynieść osobę na świeże powietrze i utrzymać pozycję ułatwiającą oddychanie.</w:t>
      </w:r>
    </w:p>
    <w:p>
      <w:pPr>
        <w:pStyle w:val="Normal"/>
        <w:spacing w:lineRule="auto" w:line="240" w:before="0" w:after="0"/>
        <w:rPr>
          <w:rFonts w:ascii="Arial Narrow" w:hAnsi="Arial Narrow"/>
          <w:sz w:val="20"/>
          <w:szCs w:val="20"/>
        </w:rPr>
      </w:pPr>
      <w:r>
        <w:rPr>
          <w:rFonts w:ascii="Arial Narrow" w:hAnsi="Arial Narrow"/>
          <w:sz w:val="20"/>
          <w:szCs w:val="20"/>
        </w:rPr>
        <w:t>P312 W przypadku złego samopoczucia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P501 Zawartość/opakowanie usuwać w punkcie zbiórki wyznaczonym zgodnie z lokalnymi przepisami.</w:t>
      </w:r>
    </w:p>
    <w:p>
      <w:pPr>
        <w:pStyle w:val="Normal"/>
        <w:spacing w:lineRule="auto" w:line="240" w:before="0" w:after="0"/>
        <w:rPr>
          <w:rFonts w:ascii="Arial Narrow" w:hAnsi="Arial Narrow"/>
          <w:sz w:val="20"/>
          <w:szCs w:val="20"/>
        </w:rPr>
      </w:pPr>
      <w:r>
        <w:rPr>
          <w:rFonts w:ascii="Arial Narrow" w:hAnsi="Arial Narrow"/>
          <w:sz w:val="20"/>
          <w:szCs w:val="20"/>
        </w:rPr>
        <w:t>Niebezpieczne składniki: Cement portlandzki, wodorotlenek wapnia.</w:t>
      </w:r>
    </w:p>
    <w:p>
      <w:pPr>
        <w:pStyle w:val="Normal"/>
        <w:spacing w:lineRule="auto" w:line="240" w:before="0" w:after="0"/>
        <w:rPr>
          <w:rFonts w:ascii="Arial Narrow" w:hAnsi="Arial Narrow"/>
          <w:sz w:val="20"/>
          <w:szCs w:val="20"/>
        </w:rPr>
      </w:pPr>
      <w:r>
        <w:rPr>
          <w:rFonts w:ascii="Arial Narrow" w:hAnsi="Arial Narrow"/>
          <w:sz w:val="20"/>
          <w:szCs w:val="20"/>
        </w:rPr>
        <w:t>Informacje dodatkowe: Mokra mieszanina może uszkodzić produkty wykonane z aluminium i innych metali nieszlachetnych.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Dodatkowe wskazówki dotyczące zagrożeń: nie dotyczy</w:t>
      </w:r>
    </w:p>
    <w:p>
      <w:pPr>
        <w:pStyle w:val="Normal"/>
        <w:spacing w:lineRule="auto" w:line="240" w:before="0" w:after="0"/>
        <w:rPr>
          <w:rFonts w:ascii="Arial Narrow" w:hAnsi="Arial Narrow"/>
          <w:b/>
          <w:b/>
          <w:sz w:val="20"/>
          <w:szCs w:val="20"/>
        </w:rPr>
      </w:pPr>
      <w:r>
        <w:rPr>
          <w:rFonts w:ascii="Arial Narrow" w:hAnsi="Arial Narrow"/>
          <w:b/>
          <w:sz w:val="20"/>
          <w:szCs w:val="20"/>
        </w:rPr>
        <w:t>Namacalne ostrzeżenie dla niewidomych: nie</w:t>
      </w:r>
    </w:p>
    <w:p>
      <w:pPr>
        <w:pStyle w:val="Normal"/>
        <w:spacing w:lineRule="auto" w:line="240" w:before="0" w:after="0"/>
        <w:rPr>
          <w:rFonts w:ascii="Arial Narrow" w:hAnsi="Arial Narrow"/>
          <w:b/>
          <w:b/>
          <w:sz w:val="20"/>
          <w:szCs w:val="20"/>
        </w:rPr>
      </w:pPr>
      <w:r>
        <w:rPr>
          <w:rFonts w:ascii="Arial Narrow" w:hAnsi="Arial Narrow"/>
          <w:b/>
          <w:sz w:val="20"/>
          <w:szCs w:val="20"/>
        </w:rPr>
        <w:t>Zamknięcie zabezpieczające przed dziećmi: 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Kolejne niebezpieczeństwo</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Powtarzający się kontakt, szczególnie mokrego preparatu z niezabezpieczoną skórą, może powodować podrażnienie skóry (kontaktowe zapalenie skóry z podrażnienia), a u niektórych osób może rozwinąć się alergiczne kontaktowe zapalenie skóry.</w:t>
      </w:r>
    </w:p>
    <w:p>
      <w:pPr>
        <w:pStyle w:val="Normal"/>
        <w:spacing w:lineRule="auto" w:line="240" w:before="0" w:after="0"/>
        <w:rPr>
          <w:rFonts w:ascii="Arial Narrow" w:hAnsi="Arial Narrow"/>
          <w:sz w:val="20"/>
          <w:szCs w:val="20"/>
        </w:rPr>
      </w:pPr>
      <w:r>
        <w:rPr>
          <w:rFonts w:ascii="Arial Narrow" w:hAnsi="Arial Narrow"/>
          <w:sz w:val="20"/>
          <w:szCs w:val="20"/>
        </w:rPr>
        <w:t>Po zmieszaniu z wodą tworzy się silnie zasadowa mieszanina, która przy wysokim pH może powodować korozję aluminium lub uszkodzenie organizmów wodnych lub roślin. Mieszanina nie spełnia kryteriów PBT lub vPvB zgodnie z Załącznikiem XIII Rozporządzenia UE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3. SKŁAD / INFORMACJA O SKŁADNIKACH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Substancje: produkt jest mieszaniną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Mieszanki: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Sucha mieszanka tynków i zapraw</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 zawiera następujące substancje niebezpieczne: Cement portlandzki szary; wodorotlenek wapnia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Nazwa chemiczna:</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WE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indeksu:</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Numer rejestracyjny:</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Zawartość w%</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Klasyfikacja zgodnie z dyrektywą 1999/45/WE</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Symbol ostrzegawczy, zwroty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Klasyfikacja zgodnie z rozporządzeniem (WE) 1272/2008: </w:t>
            </w:r>
            <w:r>
              <w:rPr>
                <w:rFonts w:ascii="Arial Narrow" w:hAnsi="Arial Narrow"/>
                <w:sz w:val="16"/>
                <w:szCs w:val="16"/>
              </w:rPr>
              <w:t>Kod klasy i kategoria zagrożenia zdanie H</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cement portlandzki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irytujące,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uczulający,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Podrażnienie skóry.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Wodorotlenek wapnia</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irytujące,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uczulający,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Podrażnienie skóry.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Pełny tekst zwrotów R i H znajduje się w sekcji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4. INSTRUKCJE PIERWSZEJ POMOCY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pierwszej pomocy</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Wskazówki ogólne: </w:t>
      </w:r>
      <w:r>
        <w:rPr>
          <w:rFonts w:ascii="Arial Narrow" w:hAnsi="Arial Narrow"/>
          <w:sz w:val="20"/>
          <w:szCs w:val="20"/>
        </w:rPr>
        <w:t>Natychmiastowa pomoc lekarska zwykle nie jest konieczna. Jeżeli po stosowaniu preparatu wystąpią problemy zdrowotne, w przypadku wątpliwości lub w przypadku utrzymujących się problemów, należy zwrócić się o pomoc lekarską i pokazać tę kartę lub etykietę. Zawsze należy zapewnić poszkodowanemu spokój i zapobiec przeziębieniu.</w:t>
      </w:r>
    </w:p>
    <w:p>
      <w:pPr>
        <w:pStyle w:val="Normal"/>
        <w:spacing w:lineRule="auto" w:line="240" w:before="0" w:after="0"/>
        <w:jc w:val="both"/>
        <w:rPr>
          <w:rFonts w:ascii="Arial Narrow" w:hAnsi="Arial Narrow"/>
          <w:sz w:val="20"/>
          <w:szCs w:val="20"/>
        </w:rPr>
      </w:pPr>
      <w:r>
        <w:rPr>
          <w:rFonts w:ascii="Arial Narrow" w:hAnsi="Arial Narrow"/>
          <w:sz w:val="20"/>
          <w:szCs w:val="20"/>
        </w:rPr>
        <w:t>Jeżeli poszkodowany jest nieprzytomny, ułożyć go w stabilnej pozycji na boku, z głową lekko odchyloną, bezwzględnie nie podawać niczego (płynów) doustnie. Osoby udzielające pierwszej pomocy nie potrzebują środków ochrony osobistej, powinny jednak unikać kontaktu z mokrą mieszaniną. Poinformuj lekarza o pierwszej pomocy.</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Podczas wdychania: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Przerwać narażenie, wyprowadzić poszkodowanego na świeże powietrze. Kurz z gardła i jamy nosowej powinien samoistnie opuścić. Jeśli podrażnienie lub nudności, kaszel lub inne uporczywe objawy utrzymują się lub rozwijają się później, należy zwrócić się o pomoc lekarską.</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 kontakcie ze skórą:</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Zdjąć zanieczyszczoną odzież, buty. Jeżeli mieszanina zaschła, należy ją usunąć ze skóry i spłukać dużą ilością wody. W przypadku mokrej mieszaniny skórę przemyć dużą ilością wody. W przypadku wystąpienia podrażnienia lub pieczenia skóry należy zwrócić się o pomoc lekarską.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 przypadku kontaktu z oczami: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Nie trzeć oczu, aby nie uszkodzić rogówki poprzez uszkodzenia mechaniczne. Zdjąć soczewki kontaktowe, jeżeli je noszą. Przechylić głowę na bok chorego oka, szeroko otworzyć powieki i natychmiast dokładnie przepłukać oko(-a) dużą ilością wody przez co najmniej 30 minut, aby usunąć wszystkie cząstki. Unikaj dostania się leku do chorego oka. Jeśli to możliwe, użyj wody izotonicznej (0,9% NaCl). Należy zgłosić się do specjalisty chorób zawodowych lub okulisty.</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Podczas picia: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Nie wywoływać wymiotów, przepłukać usta wodą, podać do wypicia dużą ilość wody. Należy zwrócić się o pomoc lekarską lub skontaktować się z Centrum Informacji Toksykologicznej.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Najważniejsze ostre i opóźnione objawy oraz skutki</w:t>
      </w:r>
    </w:p>
    <w:p>
      <w:pPr>
        <w:pStyle w:val="Normal"/>
        <w:spacing w:lineRule="auto" w:line="240" w:before="0" w:after="0"/>
        <w:rPr>
          <w:rFonts w:ascii="Arial Narrow" w:hAnsi="Arial Narrow"/>
          <w:i/>
          <w:i/>
          <w:sz w:val="20"/>
          <w:szCs w:val="20"/>
        </w:rPr>
      </w:pPr>
      <w:r>
        <w:rPr>
          <w:rFonts w:ascii="Arial Narrow" w:hAnsi="Arial Narrow"/>
          <w:i/>
          <w:sz w:val="20"/>
          <w:szCs w:val="20"/>
        </w:rPr>
        <w:t>(efekty, które można założyć ze względu na skład mieszaniny)</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ze skórą: Mieszanka cementowa może przy dłuższym kontakcie działać drażniąco na skórę (na wilgotną skórę, np. podczas pocenia się lub zwilżania skóry) lub przy powtarzającym się kontakcie powodować zapalenie skóry. Długotrwały kontakt skóry z mokrą mieszaniną może spowodować poważne oparzenia (wytrawienie), które początkowo rozwijają się bezboleśnie.</w:t>
      </w:r>
    </w:p>
    <w:p>
      <w:pPr>
        <w:pStyle w:val="Normal"/>
        <w:spacing w:lineRule="auto" w:line="240" w:before="0" w:after="0"/>
        <w:rPr>
          <w:rFonts w:ascii="Arial Narrow" w:hAnsi="Arial Narrow"/>
          <w:i/>
          <w:i/>
          <w:sz w:val="20"/>
          <w:szCs w:val="20"/>
        </w:rPr>
      </w:pPr>
      <w:r>
        <w:rPr>
          <w:rFonts w:ascii="Arial Narrow" w:hAnsi="Arial Narrow"/>
          <w:i/>
          <w:sz w:val="20"/>
          <w:szCs w:val="20"/>
        </w:rPr>
        <w:t>Kontakt z oczami: Kontakt oczu z mieszaniną cementu może spowodować poważne i potencjalnie nieodwracalne uszkodzenie oczu.</w:t>
      </w:r>
    </w:p>
    <w:p>
      <w:pPr>
        <w:pStyle w:val="Normal"/>
        <w:spacing w:lineRule="auto" w:line="240" w:before="0" w:after="0"/>
        <w:rPr>
          <w:rFonts w:ascii="Arial Narrow" w:hAnsi="Arial Narrow"/>
          <w:i/>
          <w:i/>
          <w:sz w:val="20"/>
          <w:szCs w:val="20"/>
        </w:rPr>
      </w:pPr>
      <w:r>
        <w:rPr>
          <w:rFonts w:ascii="Arial Narrow" w:hAnsi="Arial Narrow"/>
          <w:i/>
          <w:sz w:val="20"/>
          <w:szCs w:val="20"/>
        </w:rPr>
        <w:t>Wdychanie: Długotrwałe lub powtarzające się wdychanie zwiększa ryzyko rozwoju chorób płuc.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Wskazania dotyczące wszelkiej natychmiastowej pomocy lekarskiej i specjalnego postępowania z poszkodowanym</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Podczas wizyty u lekarza należy zabrać ze sobą kartę bezpieczeństwa.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5. Środki ostrożności w przypadku pożaru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Gaśnica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Odpowiednie środki gaśnicze:</w:t>
      </w:r>
      <w:r>
        <w:rPr/>
        <w:t xml:space="preserve"> </w:t>
      </w:r>
      <w:r>
        <w:rPr>
          <w:rFonts w:ascii="Arial Narrow" w:hAnsi="Arial Narrow"/>
          <w:sz w:val="20"/>
          <w:szCs w:val="20"/>
        </w:rPr>
        <w:t>Produkt jest niepalny. Do gaszenia otaczających pożarów środek gaśniczy należy wybierać uwzględniając ochronę środowiska.</w:t>
      </w:r>
    </w:p>
    <w:p>
      <w:pPr>
        <w:pStyle w:val="Normal"/>
        <w:spacing w:lineRule="auto" w:line="240" w:before="0" w:after="0"/>
        <w:rPr/>
      </w:pPr>
      <w:r>
        <w:rPr>
          <w:rFonts w:ascii="Arial Narrow" w:hAnsi="Arial Narrow"/>
          <w:b/>
          <w:sz w:val="20"/>
          <w:szCs w:val="20"/>
        </w:rPr>
        <w:t xml:space="preserve">Niewłaściwe środki gaśnicze: </w:t>
      </w:r>
      <w:r>
        <w:rPr/>
        <w:t xml:space="preserve">Strumień wody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Szczególne bezpieczeństwo wynikające z substancji lub mieszaniny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Nie są znane. Mieszanka nie jest palna i wybuchowa, nie sprzyja spalaniu innych materiałów.</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dla strażaków</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Stosować niezależny aparat oddechowy i zazwyczaj sprzęt gaśniczy (unikać kontaktu ze skórą i oczami). Zapobiegać przedostawaniu się wody lub mieszaniny gaśniczej do kanałów ściekowych i dróg wodnych.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6. POSTĘPOWANIE W PRZYPADKU NIEZAMIERZONEGO UWOLNIENIA DO ŚRODOWISKA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Środki ochrony osobistej, sprzęt ochronny i procedury w sytuacjach awaryjnych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Nie dopuścić, aby osoby niezaangażowane w usuwanie skutków wycieku przemieszczały się do miejsc, w których mogą zostać skażone rozlanym produktem. Zapewnić wentylację pozbawioną przeciągów wewnątrz budynków. Podczas czyszczenia należy wybierać procedury, które nie zwiększają powstawania aerozolu pyłowego (patrz rozdział 6.3). W przypadku stosowania procedur na mokro nieoczyszczona podłoga lub podłoże może stać się śliska. Podczas pracy stosować zalecane środki ochrony indywidualnej (patrz sekcja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Środki ochrony środowiska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Zapobiegać wyciekom i rozprzestrzenianiu się rozlanego materiału. Jeśli to możliwe, utrzymuj materiał w suchości. Jeśli to możliwe, przykryj obszar, aby uniknąć niepotrzebnego zagrożenia pyłem. Zapobiegać niekontrolowanemu wyciekowi do dróg wodnych i ścieków (wzrost pH). Wszelkie większe wycieki do dróg wodnych należy zgłaszać Agencji Środowiska lub innemu odpowiedzialnemu organowi.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Metody i materiały zapobiegające rozprzestrzenianiu się skażenia i służące do usuwania skażenia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Rozsypany, suchy materiał zebrać mechanicznie i jeżeli nie jest zanieczyszczony wykorzystać go ponownie. Stosuj metody czyszczenia na sucho, takie jak odkurzanie lub odkurzanie (przy użyciu filtrów powietrza). Nie używaj sprężonego powietrza.</w:t>
      </w:r>
    </w:p>
    <w:p>
      <w:pPr>
        <w:pStyle w:val="Normal"/>
        <w:spacing w:lineRule="auto" w:line="240" w:before="0" w:after="0"/>
        <w:rPr>
          <w:rFonts w:ascii="Arial Narrow" w:hAnsi="Arial Narrow"/>
          <w:sz w:val="20"/>
          <w:szCs w:val="20"/>
        </w:rPr>
      </w:pPr>
      <w:r>
        <w:rPr>
          <w:rFonts w:ascii="Arial Narrow" w:hAnsi="Arial Narrow"/>
          <w:sz w:val="20"/>
          <w:szCs w:val="20"/>
        </w:rPr>
        <w:t>Można także zastosować czyszczenie na mokro (spryskaj wodą lub mgłą), zapobiec wzbijaniu się kurzu, wytrzeć kurz i usunąć powstały osad. Usuń mokrą mieszaninę w ten sam sposób. Poczekać, aż osad stwardnieje i usunąć zgodnie z sekcją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Odniesienia do innych części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Patrz sekcja 8 dotycząca środków ochrony indywidualnej.</w:t>
      </w:r>
    </w:p>
    <w:p>
      <w:pPr>
        <w:pStyle w:val="Normal"/>
        <w:spacing w:lineRule="auto" w:line="240" w:before="0" w:after="0"/>
        <w:rPr>
          <w:rFonts w:ascii="Arial Narrow" w:hAnsi="Arial Narrow"/>
          <w:sz w:val="20"/>
          <w:szCs w:val="20"/>
        </w:rPr>
      </w:pPr>
      <w:r>
        <w:rPr>
          <w:rFonts w:ascii="Arial Narrow" w:hAnsi="Arial Narrow"/>
          <w:sz w:val="20"/>
          <w:szCs w:val="20"/>
        </w:rPr>
        <w:t>Patrz sekcja 13 dotycząca usuwania odpadów.</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7. OBSŁUGA I MAGAZYNOWANIE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Środki ostrożności dotyczące bezpiecznego postępowania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Przeczytaj instrukcję użytkowania. Podczas pracy z suchą mieszanką nie wdychać pyłu, pracować w dobrze wentylowanych pomieszczeniach, stosować sprzęt ochronny chroniący przed wdychaniem pyłu (patrz p. 8). Podczas pracy z suchą lub mokrą mieszaniną należy unikać kontaktu z oczami i skórą, stosując środki ochrony osobistej (patrz sekcja 8).</w:t>
      </w:r>
    </w:p>
    <w:p>
      <w:pPr>
        <w:pStyle w:val="Normal"/>
        <w:spacing w:lineRule="auto" w:line="240" w:before="0" w:after="0"/>
        <w:jc w:val="both"/>
        <w:rPr>
          <w:rFonts w:ascii="Arial Narrow" w:hAnsi="Arial Narrow"/>
          <w:sz w:val="20"/>
          <w:szCs w:val="20"/>
        </w:rPr>
      </w:pPr>
      <w:r>
        <w:rPr>
          <w:rFonts w:ascii="Arial Narrow" w:hAnsi="Arial Narrow"/>
          <w:sz w:val="20"/>
          <w:szCs w:val="20"/>
        </w:rPr>
        <w:t>Narzędzia robocze w miejscach, w których mają kontakt z rękami, należy utrzymywać w czystości. Odzież robocza i sprzęt ochronny zabrudzony w stopniu, w którym mieszanina przedostanie się przez powierzchnię skóry lub przedostanie się wilgoci do wnętrza sprzętu ochronnego lub odzieży roboczej, należy jak najszybciej wymienić na czyste i suche.</w:t>
      </w:r>
    </w:p>
    <w:p>
      <w:pPr>
        <w:pStyle w:val="Normal"/>
        <w:spacing w:lineRule="auto" w:line="240" w:before="0" w:after="0"/>
        <w:jc w:val="both"/>
        <w:rPr>
          <w:rFonts w:ascii="Arial Narrow" w:hAnsi="Arial Narrow"/>
          <w:sz w:val="20"/>
          <w:szCs w:val="20"/>
        </w:rPr>
      </w:pPr>
      <w:r>
        <w:rPr>
          <w:rFonts w:ascii="Arial Narrow" w:hAnsi="Arial Narrow"/>
          <w:sz w:val="20"/>
          <w:szCs w:val="20"/>
        </w:rPr>
        <w:t>Podczas pracy nie jeść, nie pić i nie palić, przestrzegać ogólnych zasad bezpieczeństwa i higieny pracy z chemikaliami.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Instrukcje bezpiecznego przechowywania substancji i mieszanin, z uwzględnieniem wszelkich niezgodności</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Przechowywać w oryginalnie zamkniętych opakowaniach, w suchym miejscu, chronić przed wilgocią, oddzielnie od żywności, napojów i pasz. Ewentualne zamrożenie produktu nie ma wpływu na jego funkcjonalność. Przechowywać w miejscu niedostępnym dla dzieci.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Szczególne zastosowanie końcowe / Szczególne zastosowanie końcowe</w:t>
      </w:r>
    </w:p>
    <w:p>
      <w:pPr>
        <w:pStyle w:val="Normal"/>
        <w:spacing w:lineRule="auto" w:line="240" w:before="0" w:after="0"/>
        <w:rPr>
          <w:rFonts w:ascii="Arial Narrow" w:hAnsi="Arial Narrow"/>
          <w:sz w:val="20"/>
          <w:szCs w:val="20"/>
        </w:rPr>
      </w:pPr>
      <w:r>
        <w:rPr>
          <w:rFonts w:ascii="Arial Narrow" w:hAnsi="Arial Narrow"/>
          <w:sz w:val="20"/>
          <w:szCs w:val="20"/>
        </w:rPr>
        <w:t>nie jest o tym mowa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8. KONTROLA NARAŻENIA/ŚRODKI OCHRONY INDYWIDUALNEJ</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Parametry kontrolne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Mieszanka zawiera substancje, dla których w Republice Słowackiej określone są najwyższe dopuszczalne stężenia w atmosferze pracy zgodnie z rozporządzeniem rządu nr. 361/2007 Sb., z późn . zm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Nazwa chemiczna</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numer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notatka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portlandzki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Wodorotlenek wapnia</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Dopuszczalne wartości narażenia w miejscu pracy zgodnie z dyrektywą nr. 2006/15/WE – nie wymienione</w:t>
      </w:r>
    </w:p>
    <w:p>
      <w:pPr>
        <w:pStyle w:val="Normal"/>
        <w:spacing w:lineRule="auto" w:line="240" w:before="0" w:after="0"/>
        <w:rPr>
          <w:rFonts w:ascii="Arial Narrow" w:hAnsi="Arial Narrow"/>
          <w:b/>
          <w:b/>
          <w:sz w:val="20"/>
          <w:szCs w:val="20"/>
        </w:rPr>
      </w:pPr>
      <w:r>
        <w:rPr>
          <w:rFonts w:ascii="Arial Narrow" w:hAnsi="Arial Narrow"/>
          <w:b/>
          <w:sz w:val="20"/>
          <w:szCs w:val="20"/>
        </w:rPr>
        <w:t>Wartości dopuszczalne wskaźników badań narażenia biologicznego nie są określone w rozporządzeniu nr. 432/2003 Zb.</w:t>
      </w:r>
    </w:p>
    <w:p>
      <w:pPr>
        <w:pStyle w:val="Normal"/>
        <w:spacing w:lineRule="auto" w:line="240" w:before="0" w:after="0"/>
        <w:rPr/>
      </w:pPr>
      <w:r>
        <w:rPr>
          <w:rFonts w:ascii="Arial Narrow" w:hAnsi="Arial Narrow"/>
          <w:b/>
          <w:sz w:val="20"/>
          <w:szCs w:val="20"/>
        </w:rPr>
        <w:t xml:space="preserve">Wartości DNEL i PNEC: </w:t>
      </w:r>
      <w:r>
        <w:rPr>
          <w:rFonts w:ascii="Arial Narrow" w:hAnsi="Arial Narrow"/>
          <w:sz w:val="20"/>
          <w:szCs w:val="20"/>
        </w:rPr>
        <w:t>jeszcze niedostępne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Ograniczanie ekspozycji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Aby ograniczyć narażenie, należy zapobiegać tworzeniu się pyłu. Ponadto zaleca się stosowanie odpowiedniego sprzętu ochronnego. Jeżeli charakter i rodzaj zastosowania nie wyklucza potencjalnego kontaktu z oczami (np. proces zamknięty), należy stosować środki ochrony oczu (np. okulary ochronne lub osłonę twarzy), dodatkową ochronę twarzy, odzież ochronną i obuwie ochronne.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Odpowiednie środki techniczne</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Zapewnić odpowiednią wentylację miejsca pracy. Lub wentylacja. Jeśli nie jest to możliwe, należy stosować środki ochrony osobistej chroniące drogi oddechowe. Obchodzenie się z suchymi mieszankami i czyszczenie miejsca pracy muszą być zapewnione przy użyciu technik, które nie zwiększają stężenia pyłu w atmosferze pracy. Przy pracy suchymi mieszankami na zewnątrz obiektów budowlanych należy w przypadku wiatru przemieszczać się od miejsca przedostania się cząstek pyłu do powietrza w kierunku przeciwnym do kierunku przepływu wiatru. W przypadku możliwości kontaktu z oczami podczas stosowania produktu, zaleca się zapewnienie źródła wody w zasięgu ręki w celu szybkiego przemycia oczu.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Indywidualne środki ochrony, w tym środki ochrony indywidualnej</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Ochrona dróg oddechowych</w:t>
      </w:r>
    </w:p>
    <w:p>
      <w:pPr>
        <w:pStyle w:val="Normal"/>
        <w:spacing w:lineRule="auto" w:line="240" w:before="0" w:after="0"/>
        <w:rPr>
          <w:rFonts w:ascii="Arial Narrow" w:hAnsi="Arial Narrow"/>
          <w:sz w:val="20"/>
          <w:szCs w:val="20"/>
        </w:rPr>
      </w:pPr>
      <w:r>
        <w:rPr>
          <w:rFonts w:ascii="Arial Narrow" w:hAnsi="Arial Narrow"/>
          <w:sz w:val="20"/>
          <w:szCs w:val="20"/>
        </w:rPr>
        <w:t>Przy otwieraniu opakowania z suchą mieszanką, przy jej wysypywaniu z opakowania lub przy przesypywaniu suchej mieszanki do pojemników roboczych oraz w początkowej fazie dodawania do suchej mieszanki wody zarobowej należy stosować maskę lub respirator z filtr przeciwpyłowy o współczynniku ochrony co najmniej 10.</w:t>
      </w:r>
    </w:p>
    <w:p>
      <w:pPr>
        <w:pStyle w:val="Normal"/>
        <w:spacing w:lineRule="auto" w:line="240" w:before="0" w:after="0"/>
        <w:rPr>
          <w:rFonts w:ascii="Arial Narrow" w:hAnsi="Arial Narrow"/>
          <w:b/>
          <w:b/>
          <w:sz w:val="20"/>
          <w:szCs w:val="20"/>
        </w:rPr>
      </w:pPr>
      <w:r>
        <w:rPr>
          <w:rFonts w:ascii="Arial Narrow" w:hAnsi="Arial Narrow"/>
          <w:b/>
          <w:sz w:val="20"/>
          <w:szCs w:val="20"/>
        </w:rPr>
        <w:t>b) Ochrona oczu i twarzy</w:t>
      </w:r>
    </w:p>
    <w:p>
      <w:pPr>
        <w:pStyle w:val="Normal"/>
        <w:spacing w:lineRule="auto" w:line="240" w:before="0" w:after="0"/>
        <w:jc w:val="both"/>
        <w:rPr>
          <w:rFonts w:ascii="Arial Narrow" w:hAnsi="Arial Narrow"/>
          <w:sz w:val="20"/>
          <w:szCs w:val="20"/>
        </w:rPr>
      </w:pPr>
      <w:r>
        <w:rPr>
          <w:rFonts w:ascii="Arial Narrow" w:hAnsi="Arial Narrow"/>
          <w:sz w:val="20"/>
          <w:szCs w:val="20"/>
        </w:rPr>
        <w:t>Jeżeli podczas pracy z suchą mieszanką nie jest używana maska całotwarzowa, należy nosić szczelne okulary ochronne, aby zapobiec przedostawaniu się cząstek pyłu do oczu. Stosowanie okularów ochronnych wymagane jest także przy pracy z mokrą zaprawą lub klejem, gdzie istnieje ryzyko rozpryskiwania się materiału. Zwłaszcza podczas rzucania lub nakładania zaprawy powyżej poziomu głowy.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Ochrona skóry</w:t>
      </w:r>
    </w:p>
    <w:p>
      <w:pPr>
        <w:pStyle w:val="Normal"/>
        <w:spacing w:lineRule="auto" w:line="240" w:before="0" w:after="0"/>
        <w:jc w:val="both"/>
        <w:rPr>
          <w:rFonts w:ascii="Arial Narrow" w:hAnsi="Arial Narrow"/>
          <w:sz w:val="20"/>
          <w:szCs w:val="20"/>
        </w:rPr>
      </w:pPr>
      <w:r>
        <w:rPr>
          <w:rFonts w:ascii="Arial Narrow" w:hAnsi="Arial Narrow"/>
          <w:sz w:val="20"/>
          <w:szCs w:val="20"/>
        </w:rPr>
        <w:t>Ponieważ zarówno suche, jak i mokre mieszaniny podrażniają skórę, narażenie należy minimalizować na tyle, na ile jest to technicznie możliwe. Praca wymaga stosowania rękawic ochronnych, standardowej całodobowej odzieży ochronnej z obcisłymi rękawami i spodniami, zapobiegającymi wnikaniu pyłu oraz noszenia obuwia odpornego na żrące i pyłoszczelne.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Ograniczanie zanieczyszczeń środowiska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Upewnij się, że opakowanie jest zamknięte podczas przechowywania, przenoszenia i transportu. Zabezpieczyć miejsca składowania przed możliwością przedostania się produktu do otaczającego środowiska (do ścieków, wody i gleby - patrz 6.2. Ewentualny wyciek produktu. Nie spłukiwać do ścieków i dróg wodnych. Wartość pH wody zanieczyszczonej produktem, która w dużych ilościach może przedostać się do kanalizacji, nie powinna przekraczać 9.</w:t>
      </w:r>
    </w:p>
    <w:p>
      <w:pPr>
        <w:pStyle w:val="Normal"/>
        <w:spacing w:lineRule="auto" w:line="240" w:before="0" w:after="0"/>
        <w:rPr>
          <w:rFonts w:ascii="Arial Narrow" w:hAnsi="Arial Narrow"/>
          <w:sz w:val="20"/>
          <w:szCs w:val="20"/>
        </w:rPr>
      </w:pPr>
      <w:r>
        <w:rPr>
          <w:rFonts w:ascii="Arial Narrow" w:hAnsi="Arial Narrow"/>
          <w:sz w:val="20"/>
          <w:szCs w:val="20"/>
        </w:rPr>
        <w:t>Wyposaż miejsce pracy i magazyny w środki umożliwiające usunięcie przypadkowego rozlania.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9. WŁAŚCIWOŚCI FIZYCZNE I CHEMICZNE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Stan skupienia: </w:t>
        <w:tab/>
        <w:tab/>
        <w:tab/>
        <w:t>sypkie ciało stałe, proszek</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Kolor: </w:t>
        <w:tab/>
        <w:tab/>
        <w:tab/>
        <w:tab/>
        <w:t>szary do złamanej bieli</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Zapach: </w:t>
        <w:tab/>
        <w:tab/>
        <w:tab/>
        <w:tab/>
        <w:t>bezwonny</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Wartość pH: </w:t>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Temperatura topnienia/krzepnięcia </w:t>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Temperatura wrzenia: </w:t>
        <w:tab/>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Temperatura zapłonu: </w:t>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Szybkość parowania: </w:t>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Palność: </w:t>
        <w:tab/>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Właściwości wybuchowe: </w:t>
        <w:tab/>
        <w:tab/>
        <w:tab/>
        <w:t>nie jest wybuchowy, górna granica - nieznana, dolna granica - 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Właściwości utleniające: </w:t>
        <w:tab/>
        <w:tab/>
        <w:tab/>
        <w:t>nieznane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Prężność par: </w:t>
        <w:tab/>
        <w:tab/>
        <w:tab/>
        <w:tab/>
        <w:t>nieznana</w:t>
      </w:r>
    </w:p>
    <w:p>
      <w:pPr>
        <w:pStyle w:val="Normal"/>
        <w:spacing w:lineRule="auto" w:line="240" w:before="0" w:after="0"/>
        <w:ind w:left="567" w:right="0" w:hanging="0"/>
        <w:rPr/>
      </w:pPr>
      <w:r>
        <w:rPr>
          <w:rFonts w:ascii="Arial Narrow" w:hAnsi="Arial Narrow"/>
          <w:sz w:val="20"/>
          <w:szCs w:val="20"/>
        </w:rPr>
        <w:t xml:space="preserve">Gęstość względna (w 18 </w:t>
      </w:r>
      <w:r>
        <w:rPr>
          <w:rFonts w:ascii="Arial Narrow" w:hAnsi="Arial Narrow"/>
          <w:sz w:val="20"/>
          <w:szCs w:val="20"/>
          <w:vertAlign w:val="superscript"/>
        </w:rPr>
        <w:t xml:space="preserve">o </w:t>
      </w:r>
      <w:r>
        <w:rPr>
          <w:rFonts w:ascii="Arial Narrow" w:hAnsi="Arial Narrow"/>
          <w:sz w:val="20"/>
          <w:szCs w:val="20"/>
        </w:rPr>
        <w:t xml:space="preserve">C): </w:t>
        <w:tab/>
        <w:tab/>
        <w:t>nieznana</w:t>
      </w:r>
    </w:p>
    <w:p>
      <w:pPr>
        <w:pStyle w:val="Normal"/>
        <w:spacing w:lineRule="auto" w:line="240" w:before="0" w:after="0"/>
        <w:ind w:left="567" w:right="0" w:hanging="0"/>
        <w:rPr/>
      </w:pPr>
      <w:r>
        <w:rPr>
          <w:rFonts w:ascii="Arial Narrow" w:hAnsi="Arial Narrow"/>
          <w:sz w:val="20"/>
          <w:szCs w:val="20"/>
        </w:rPr>
        <w:t xml:space="preserve">Rozpuszczalność w wodzie (w 18 </w:t>
      </w:r>
      <w:r>
        <w:rPr>
          <w:rFonts w:ascii="Arial Narrow" w:hAnsi="Arial Narrow"/>
          <w:sz w:val="20"/>
          <w:szCs w:val="20"/>
          <w:vertAlign w:val="superscript"/>
        </w:rPr>
        <w:t xml:space="preserve">o </w:t>
      </w:r>
      <w:r>
        <w:rPr>
          <w:rFonts w:ascii="Arial Narrow" w:hAnsi="Arial Narrow"/>
          <w:sz w:val="20"/>
          <w:szCs w:val="20"/>
        </w:rPr>
        <w:t xml:space="preserve">C): </w:t>
        <w:tab/>
        <w:t>Słabo rozpuszczalny w wodzie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Rozpuszczalność w tłuszczach: </w:t>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Współczynnik podziału n-oktanol/woda: </w:t>
        <w:tab/>
        <w:t>nieznany</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Lepkość: </w:t>
        <w:tab/>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Gęstość par: </w:t>
        <w:tab/>
        <w:tab/>
        <w:tab/>
        <w:t>nieznana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Szybkość parowania: </w:t>
        <w:tab/>
        <w:tab/>
        <w:t>nieznana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10. STABILNOŚĆ I REAKTYWNOŚĆ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Reaktywność</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 zmieszaniu z wodą tworzy się silnie zasadowa mieszanina, która stopniowo twardnieje. Po stwardnieniu całej mieszaniny powstaje stabilna masa.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Stabilność chemiczna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W normalnych warunkach produkt jest stabilny, jeśli jest przechowywany i stosowany zgodnie z zaleceniami. Chronić mieszaninę przed działaniem wody i wilgoci powietrza. Rozkład nie następuje. Utrzymuj produkt w suchości. Konieczne jest wykluczenie kontaktu z materiałami niezgodnymi.</w:t>
      </w:r>
    </w:p>
    <w:p>
      <w:pPr>
        <w:pStyle w:val="Normal"/>
        <w:spacing w:lineRule="auto" w:line="240" w:before="0" w:after="0"/>
        <w:jc w:val="both"/>
        <w:rPr>
          <w:rFonts w:ascii="Arial Narrow" w:hAnsi="Arial Narrow"/>
          <w:sz w:val="20"/>
          <w:szCs w:val="20"/>
        </w:rPr>
      </w:pPr>
      <w:r>
        <w:rPr>
          <w:rFonts w:ascii="Arial Narrow" w:hAnsi="Arial Narrow"/>
          <w:sz w:val="20"/>
          <w:szCs w:val="20"/>
        </w:rPr>
        <w:t>Mokra mieszanina jest alkaliczna/alkaliczna i reaguje z kwasami, solami amonowymi, aluminium i innymi metalami nieszlachetnymi. Cement portlandzki rozpuszcza się w kwasie fluorowodorowym, tworząc żrący gazowy tetrafluorek krzemu. Cementy portlandzkie reagują z wodą tworząc krzemiany i wodorotlenek wapnia. Krzemiany w cementach reagują z silnymi środkami utleniającymi, takimi jak fluor, fluorek boru, fluorek chloru, fluorek manganu i difluorek tlenu.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Możliwość występowania niebezpiecznych reakcji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Należy unikać niekontrolowanego stosowania proszku aluminiowego, gdyż podczas reakcji z cementem i wodorotlenkiem wapnia powstaje/wydziela się wodór. Wodorotlenek wapnia reaguje egzotermicznie z kwasami. Po podgrzaniu powyżej 580°C wodorotlenek wapnia rozkłada się tworząc tlenek wapnia (CaO) i wodę (H2O): Ca (OH) 2 -&gt; CaO + H2O. Tlenek wapnia reaguje z wodą, wytwarzając ciepło. Może to być niebezpieczne dla materiałów łatwopalnych.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Warunki, których należy unikać: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Podczas przechowywania minimalizuj ekspozycję na powietrze i wilgoć, które mogą powodować utratę jakości produktu (zbrylanie)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Materiały niezgodne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Kwasy, sole amonowe, aluminium i inne metale nieszlachetne.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Niebezpieczne produkty rozkładu: </w:t>
      </w:r>
      <w:r>
        <w:rPr>
          <w:rFonts w:ascii="Arial Narrow" w:hAnsi="Arial Narrow"/>
          <w:sz w:val="20"/>
          <w:szCs w:val="20"/>
        </w:rPr>
        <w:t>wyrzucić</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11. INFORMACJE TOKSYKOLOGICZNE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Informacje dotyczące skutków toksykologicznych: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Ludzkie doświadczenie: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Mieszając mieszaninę z wodą lub z wilgocią tworzy silnie zasadową mieszaninę o działaniu drażniącym. Produkt w postaci pyłu oraz po zmieszaniu z wodą działa drażniąco na spojówki i skórę. Pył może powodować podrażnienie dróg oddechowych.</w:t>
      </w:r>
    </w:p>
    <w:p>
      <w:pPr>
        <w:pStyle w:val="Normal"/>
        <w:spacing w:lineRule="auto" w:line="240" w:before="0" w:after="0"/>
        <w:rPr>
          <w:rFonts w:ascii="Arial Narrow" w:hAnsi="Arial Narrow"/>
          <w:sz w:val="20"/>
          <w:szCs w:val="20"/>
        </w:rPr>
      </w:pPr>
      <w:r>
        <w:rPr>
          <w:rFonts w:ascii="Arial Narrow" w:hAnsi="Arial Narrow"/>
          <w:sz w:val="20"/>
          <w:szCs w:val="20"/>
        </w:rPr>
        <w:t>Wysokie stężenia pyłów powodują podrażnienie narządów oddechowych (kaszel, kichanie, duszność).</w:t>
      </w:r>
    </w:p>
    <w:p>
      <w:pPr>
        <w:pStyle w:val="Normal"/>
        <w:spacing w:lineRule="auto" w:line="240" w:before="0" w:after="0"/>
        <w:rPr>
          <w:rFonts w:ascii="Arial Narrow" w:hAnsi="Arial Narrow"/>
          <w:sz w:val="20"/>
          <w:szCs w:val="20"/>
        </w:rPr>
      </w:pPr>
      <w:r>
        <w:rPr>
          <w:rFonts w:ascii="Arial Narrow" w:hAnsi="Arial Narrow"/>
          <w:sz w:val="20"/>
          <w:szCs w:val="20"/>
        </w:rPr>
        <w:t>W kontakcie z oczami mieszanina działa drażniąco, w przypadku masowej interwencji lub niewystarczającego leczenia (konieczne jest natychmiastowe płukanie oczu przez kilka minut) może wystąpić stan zapalny oczu aż do oparzeń chemicznych, co może prowadzić do trwałego uszkodzenia oczu (ślepoty). .</w:t>
      </w:r>
    </w:p>
    <w:p>
      <w:pPr>
        <w:pStyle w:val="Normal"/>
        <w:spacing w:lineRule="auto" w:line="240" w:before="0" w:after="0"/>
        <w:rPr>
          <w:rFonts w:ascii="Arial Narrow" w:hAnsi="Arial Narrow"/>
          <w:sz w:val="20"/>
          <w:szCs w:val="20"/>
        </w:rPr>
      </w:pPr>
      <w:r>
        <w:rPr>
          <w:rFonts w:ascii="Arial Narrow" w:hAnsi="Arial Narrow"/>
          <w:sz w:val="20"/>
          <w:szCs w:val="20"/>
        </w:rPr>
        <w:t>Powtarzający się kontakt w większości wilgotnej mieszaniny z niezabezpieczoną skórą może powodować podrażnienie skóry (kontaktowe zapalenie skóry z podrażnienia). Zapalenie skóry objawia się swędzeniem stanu zapalnego skóry. Skóra jest czerwona, łuszcząca się i popękana.</w:t>
      </w:r>
    </w:p>
    <w:p>
      <w:pPr>
        <w:pStyle w:val="Normal"/>
        <w:spacing w:lineRule="auto" w:line="240" w:before="0" w:after="0"/>
        <w:rPr>
          <w:rFonts w:ascii="Arial Narrow" w:hAnsi="Arial Narrow"/>
          <w:sz w:val="20"/>
          <w:szCs w:val="20"/>
        </w:rPr>
      </w:pPr>
      <w:r>
        <w:rPr>
          <w:rFonts w:ascii="Arial Narrow" w:hAnsi="Arial Narrow"/>
          <w:sz w:val="20"/>
          <w:szCs w:val="20"/>
        </w:rPr>
        <w:t>Kontaktowe zapalenie skóry z podrażnienia jest spowodowane kombinacją właściwości fizycznych leku (wilgotność, wysoka zasadowość i ścieranie).</w:t>
      </w:r>
    </w:p>
    <w:p>
      <w:pPr>
        <w:pStyle w:val="Normal"/>
        <w:spacing w:lineRule="auto" w:line="240" w:before="0" w:after="0"/>
        <w:rPr>
          <w:rFonts w:ascii="Arial Narrow" w:hAnsi="Arial Narrow"/>
          <w:sz w:val="20"/>
          <w:szCs w:val="20"/>
        </w:rPr>
      </w:pPr>
      <w:r>
        <w:rPr>
          <w:rFonts w:ascii="Arial Narrow" w:hAnsi="Arial Narrow"/>
          <w:sz w:val="20"/>
          <w:szCs w:val="20"/>
        </w:rPr>
        <w:t>Długotrwały kontakt mokrego cementu/mieszanki cementowej ze skórą przy jednoczesnym tarciu może spowodować poważne oparzenia.</w:t>
      </w:r>
    </w:p>
    <w:p>
      <w:pPr>
        <w:pStyle w:val="Normal"/>
        <w:spacing w:lineRule="auto" w:line="240" w:before="0" w:after="0"/>
        <w:rPr>
          <w:rFonts w:ascii="Arial Narrow" w:hAnsi="Arial Narrow"/>
          <w:sz w:val="20"/>
          <w:szCs w:val="20"/>
        </w:rPr>
      </w:pPr>
      <w:r>
        <w:rPr>
          <w:rFonts w:ascii="Arial Narrow" w:hAnsi="Arial Narrow"/>
          <w:sz w:val="20"/>
          <w:szCs w:val="20"/>
        </w:rPr>
        <w:t>Warunki zdrowotne pogorszone w wyniku narażenia Wdychanie pyłu cementowego może pogorszyć istniejące choroby układu oddechowego lub schorzenia, takie jak rozedma płuc (obrzęk płuc), astma lub istniejące choroby skóry lub oczu.</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Informacje dotyczące skutków toksykologicznych</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Ostra toksyczność składników:</w:t>
      </w:r>
    </w:p>
    <w:p>
      <w:pPr>
        <w:pStyle w:val="Normal"/>
        <w:spacing w:lineRule="auto" w:line="240" w:before="0" w:after="0"/>
        <w:rPr>
          <w:rFonts w:ascii="Arial Narrow" w:hAnsi="Arial Narrow"/>
          <w:sz w:val="20"/>
          <w:szCs w:val="20"/>
        </w:rPr>
      </w:pPr>
      <w:r>
        <w:rPr>
          <w:rFonts w:ascii="Arial Narrow" w:hAnsi="Arial Narrow"/>
          <w:sz w:val="20"/>
          <w:szCs w:val="20"/>
        </w:rPr>
        <w:t>Wodorotlenek wapnia, CAS 1305-62-0</w:t>
      </w:r>
    </w:p>
    <w:p>
      <w:pPr>
        <w:pStyle w:val="Normal"/>
        <w:spacing w:lineRule="auto" w:line="240" w:before="0" w:after="0"/>
        <w:rPr>
          <w:rFonts w:ascii="Arial Narrow" w:hAnsi="Arial Narrow"/>
          <w:sz w:val="20"/>
          <w:szCs w:val="20"/>
        </w:rPr>
      </w:pPr>
      <w:r>
        <w:rPr>
          <w:rFonts w:ascii="Arial Narrow" w:hAnsi="Arial Narrow"/>
          <w:sz w:val="20"/>
          <w:szCs w:val="20"/>
        </w:rPr>
        <w:t>Doustnie: LD50 &gt; 2000 mg/kg (OECD 425, szczur)</w:t>
      </w:r>
    </w:p>
    <w:p>
      <w:pPr>
        <w:pStyle w:val="Normal"/>
        <w:spacing w:lineRule="auto" w:line="240" w:before="0" w:after="0"/>
        <w:rPr>
          <w:rFonts w:ascii="Arial Narrow" w:hAnsi="Arial Narrow"/>
          <w:sz w:val="20"/>
          <w:szCs w:val="20"/>
        </w:rPr>
      </w:pPr>
      <w:r>
        <w:rPr>
          <w:rFonts w:ascii="Arial Narrow" w:hAnsi="Arial Narrow"/>
          <w:sz w:val="20"/>
          <w:szCs w:val="20"/>
        </w:rPr>
        <w:t>Skóra: LD50 &gt; 2500 mg/kg (OECD 402, królik</w:t>
      </w:r>
    </w:p>
    <w:p>
      <w:pPr>
        <w:pStyle w:val="Normal"/>
        <w:spacing w:lineRule="auto" w:line="240" w:before="0" w:after="0"/>
        <w:rPr>
          <w:rFonts w:ascii="Arial Narrow" w:hAnsi="Arial Narrow"/>
          <w:sz w:val="20"/>
          <w:szCs w:val="20"/>
        </w:rPr>
      </w:pPr>
      <w:r>
        <w:rPr>
          <w:rFonts w:ascii="Arial Narrow" w:hAnsi="Arial Narrow"/>
          <w:sz w:val="20"/>
          <w:szCs w:val="20"/>
        </w:rPr>
        <w:t>Wdychanie: brak danych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Przy klasyfikacji mieszaniny wzięto pod uwagę wartość pH mokrej mieszaniny (11 - 13,5), ogólne stężenia graniczne składników mieszaniny oraz informacje z kart charakterystyki poszczególnych składników z odniesieniem do literatury.</w:t>
      </w:r>
    </w:p>
    <w:p>
      <w:pPr>
        <w:pStyle w:val="Normal"/>
        <w:spacing w:lineRule="auto" w:line="240" w:before="0" w:after="0"/>
        <w:rPr>
          <w:rFonts w:ascii="Arial Narrow" w:hAnsi="Arial Narrow"/>
          <w:sz w:val="20"/>
          <w:szCs w:val="20"/>
        </w:rPr>
      </w:pPr>
      <w:r>
        <w:rPr>
          <w:rFonts w:ascii="Arial Narrow" w:hAnsi="Arial Narrow"/>
          <w:sz w:val="20"/>
          <w:szCs w:val="20"/>
        </w:rPr>
        <w:t>a) toksyczność ostra: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b) działanie drażniące: na podstawie właściwości poszczególnych składników mieszaninę sklasyfikowano jako:</w:t>
      </w:r>
    </w:p>
    <w:p>
      <w:pPr>
        <w:pStyle w:val="Normal"/>
        <w:spacing w:lineRule="auto" w:line="240" w:before="0" w:after="0"/>
        <w:rPr>
          <w:rFonts w:ascii="Arial Narrow" w:hAnsi="Arial Narrow"/>
          <w:sz w:val="20"/>
          <w:szCs w:val="20"/>
        </w:rPr>
      </w:pPr>
      <w:r>
        <w:rPr>
          <w:rFonts w:ascii="Arial Narrow" w:hAnsi="Arial Narrow"/>
          <w:sz w:val="20"/>
          <w:szCs w:val="20"/>
        </w:rPr>
        <w:t>Poważne uszkodzenie oczu, kategoria 1 - Eye Dam. 1 (H318)</w:t>
      </w:r>
    </w:p>
    <w:p>
      <w:pPr>
        <w:pStyle w:val="Normal"/>
        <w:spacing w:lineRule="auto" w:line="240" w:before="0" w:after="0"/>
        <w:rPr>
          <w:rFonts w:ascii="Arial Narrow" w:hAnsi="Arial Narrow"/>
          <w:sz w:val="20"/>
          <w:szCs w:val="20"/>
        </w:rPr>
      </w:pPr>
      <w:r>
        <w:rPr>
          <w:rFonts w:ascii="Arial Narrow" w:hAnsi="Arial Narrow"/>
          <w:sz w:val="20"/>
          <w:szCs w:val="20"/>
        </w:rPr>
        <w:t>Działanie drażniące na skórę, kategoria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korozyjność: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d) działanie uczulające: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e) toksyczność dawki powtórzonej: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f) rakotwórczość: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g) mutagenność: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h) szkodliwe działanie na rozrodczość: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i) Toksyczność dla konkretnego narządu docelowego – narażenie jednorazowe: na podstawie właściwości poszczególnych składników mieszaninę sklasyfikowano jako:</w:t>
      </w:r>
    </w:p>
    <w:p>
      <w:pPr>
        <w:pStyle w:val="Normal"/>
        <w:spacing w:lineRule="auto" w:line="240" w:before="0" w:after="0"/>
        <w:rPr>
          <w:rFonts w:ascii="Arial Narrow" w:hAnsi="Arial Narrow"/>
          <w:sz w:val="20"/>
          <w:szCs w:val="20"/>
        </w:rPr>
      </w:pPr>
      <w:r>
        <w:rPr>
          <w:rFonts w:ascii="Arial Narrow" w:hAnsi="Arial Narrow"/>
          <w:sz w:val="20"/>
          <w:szCs w:val="20"/>
        </w:rPr>
        <w:t>Działanie toksyczne na narządy docelowe – narażenie jednorazowe, podrażnienie dróg oddechowych – STOT SE 3 (H335)</w:t>
      </w:r>
    </w:p>
    <w:p>
      <w:pPr>
        <w:pStyle w:val="Normal"/>
        <w:spacing w:lineRule="auto" w:line="240" w:before="0" w:after="0"/>
        <w:rPr>
          <w:rFonts w:ascii="Arial Narrow" w:hAnsi="Arial Narrow"/>
          <w:sz w:val="20"/>
          <w:szCs w:val="20"/>
        </w:rPr>
      </w:pPr>
      <w:r>
        <w:rPr>
          <w:rFonts w:ascii="Arial Narrow" w:hAnsi="Arial Narrow"/>
          <w:sz w:val="20"/>
          <w:szCs w:val="20"/>
        </w:rPr>
        <w:t>j) Toksyczność dla konkretnego narządu docelowego – narażenie powtarzane: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t>k) Zagrożenie spowodowane aspiracją: nie określono dla mieszaniny; na podstawie właściwości poszczególnych składników mieszanina nie spełnia tej klasyfikacji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12. INFORMACJE EKOLOGICZNE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Zmieszanie produktu z wodą powoduje podwyższenie wartości pH (11 - 13,5), mieszanina jest silnie zasadowa i może stwarzać krótkotrwałe zagrożenie dla organizmów wodnych. Wartość pH zależy od stężenia produktu w wodzie. Wartość pH szybko spada w wyniku rozcieńczenia. Po stwardnieniu pod wpływem wilgoci lub wody, produkt nawet przez krótki czas nie stwarza zagrożenia dla organizmów wodnych. Zapobiegać skażeniu gleby i przedostawaniu się do wód powierzchniowych lub gruntowych, ścieków, dróg wodnych i środowiska.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Toksyczność – skutki ostre i chroniczne:</w:t>
      </w:r>
    </w:p>
    <w:p>
      <w:pPr>
        <w:pStyle w:val="Normal"/>
        <w:spacing w:lineRule="auto" w:line="240" w:before="0" w:after="0"/>
        <w:rPr>
          <w:rFonts w:ascii="Arial Narrow" w:hAnsi="Arial Narrow"/>
          <w:sz w:val="20"/>
          <w:szCs w:val="20"/>
        </w:rPr>
      </w:pPr>
      <w:r>
        <w:rPr>
          <w:rFonts w:ascii="Arial Narrow" w:hAnsi="Arial Narrow"/>
          <w:sz w:val="20"/>
          <w:szCs w:val="20"/>
        </w:rPr>
        <w:t>nieoznaczony dla mieszaniny, ze względu na charakter poszczególnych składników nie jest oczekiwany</w:t>
      </w:r>
    </w:p>
    <w:p>
      <w:pPr>
        <w:pStyle w:val="Normal"/>
        <w:spacing w:lineRule="auto" w:line="240" w:before="0" w:after="0"/>
        <w:rPr>
          <w:rFonts w:ascii="Arial Narrow" w:hAnsi="Arial Narrow"/>
          <w:sz w:val="20"/>
          <w:szCs w:val="20"/>
        </w:rPr>
      </w:pPr>
      <w:r>
        <w:rPr>
          <w:rFonts w:ascii="Arial Narrow" w:hAnsi="Arial Narrow"/>
          <w:sz w:val="20"/>
          <w:szCs w:val="20"/>
        </w:rPr>
        <w:t>Wodorotlenek wapnia, CAS 1305-62-0</w:t>
      </w:r>
    </w:p>
    <w:p>
      <w:pPr>
        <w:pStyle w:val="Normal"/>
        <w:spacing w:lineRule="auto" w:line="240" w:before="0" w:after="0"/>
        <w:rPr>
          <w:rFonts w:ascii="Arial Narrow" w:hAnsi="Arial Narrow"/>
          <w:sz w:val="20"/>
          <w:szCs w:val="20"/>
        </w:rPr>
      </w:pPr>
      <w:r>
        <w:rPr>
          <w:rFonts w:ascii="Arial Narrow" w:hAnsi="Arial Narrow"/>
          <w:sz w:val="20"/>
          <w:szCs w:val="20"/>
        </w:rPr>
        <w:t>LC50 (96h) dla ryb słodkowodnych: 50,6 mg/l</w:t>
      </w:r>
    </w:p>
    <w:p>
      <w:pPr>
        <w:pStyle w:val="Normal"/>
        <w:spacing w:lineRule="auto" w:line="240" w:before="0" w:after="0"/>
        <w:rPr>
          <w:rFonts w:ascii="Arial Narrow" w:hAnsi="Arial Narrow"/>
          <w:sz w:val="20"/>
          <w:szCs w:val="20"/>
        </w:rPr>
      </w:pPr>
      <w:r>
        <w:rPr>
          <w:rFonts w:ascii="Arial Narrow" w:hAnsi="Arial Narrow"/>
          <w:sz w:val="20"/>
          <w:szCs w:val="20"/>
        </w:rPr>
        <w:t>LC50 (96h) dla ryb morskich: 457 mg/l</w:t>
      </w:r>
    </w:p>
    <w:p>
      <w:pPr>
        <w:pStyle w:val="Normal"/>
        <w:spacing w:lineRule="auto" w:line="240" w:before="0" w:after="0"/>
        <w:rPr>
          <w:rFonts w:ascii="Arial Narrow" w:hAnsi="Arial Narrow"/>
          <w:sz w:val="20"/>
          <w:szCs w:val="20"/>
        </w:rPr>
      </w:pPr>
      <w:r>
        <w:rPr>
          <w:rFonts w:ascii="Arial Narrow" w:hAnsi="Arial Narrow"/>
          <w:sz w:val="20"/>
          <w:szCs w:val="20"/>
        </w:rPr>
        <w:t>EC50 (48h) dla bezkręgowców słodkowodnych: 49,1 mg/l</w:t>
      </w:r>
    </w:p>
    <w:p>
      <w:pPr>
        <w:pStyle w:val="Normal"/>
        <w:spacing w:lineRule="auto" w:line="240" w:before="0" w:after="0"/>
        <w:rPr>
          <w:rFonts w:ascii="Arial Narrow" w:hAnsi="Arial Narrow"/>
          <w:sz w:val="20"/>
          <w:szCs w:val="20"/>
        </w:rPr>
      </w:pPr>
      <w:r>
        <w:rPr>
          <w:rFonts w:ascii="Arial Narrow" w:hAnsi="Arial Narrow"/>
          <w:sz w:val="20"/>
          <w:szCs w:val="20"/>
        </w:rPr>
        <w:t>LC50 (96h) dla bezkręgowców morskich: 158 mg/l</w:t>
      </w:r>
    </w:p>
    <w:p>
      <w:pPr>
        <w:pStyle w:val="Normal"/>
        <w:spacing w:lineRule="auto" w:line="240" w:before="0" w:after="0"/>
        <w:rPr>
          <w:rFonts w:ascii="Arial Narrow" w:hAnsi="Arial Narrow"/>
          <w:sz w:val="20"/>
          <w:szCs w:val="20"/>
        </w:rPr>
      </w:pPr>
      <w:r>
        <w:rPr>
          <w:rFonts w:ascii="Arial Narrow" w:hAnsi="Arial Narrow"/>
          <w:sz w:val="20"/>
          <w:szCs w:val="20"/>
        </w:rPr>
        <w:t>EC50 (72h) dla alg słodkowodnych: 184,57 mg/l</w:t>
      </w:r>
    </w:p>
    <w:p>
      <w:pPr>
        <w:pStyle w:val="Normal"/>
        <w:spacing w:lineRule="auto" w:line="240" w:before="0" w:after="0"/>
        <w:rPr>
          <w:rFonts w:ascii="Arial Narrow" w:hAnsi="Arial Narrow"/>
          <w:sz w:val="20"/>
          <w:szCs w:val="20"/>
        </w:rPr>
      </w:pPr>
      <w:r>
        <w:rPr>
          <w:rFonts w:ascii="Arial Narrow" w:hAnsi="Arial Narrow"/>
          <w:sz w:val="20"/>
          <w:szCs w:val="20"/>
        </w:rPr>
        <w:t>NOEC (72h) dla wodorostów: 48 mg/l</w:t>
      </w:r>
    </w:p>
    <w:p>
      <w:pPr>
        <w:pStyle w:val="Normal"/>
        <w:spacing w:lineRule="auto" w:line="240" w:before="0" w:after="0"/>
        <w:rPr>
          <w:rFonts w:ascii="Arial Narrow" w:hAnsi="Arial Narrow"/>
          <w:sz w:val="20"/>
          <w:szCs w:val="20"/>
        </w:rPr>
      </w:pPr>
      <w:r>
        <w:rPr>
          <w:rFonts w:ascii="Arial Narrow" w:hAnsi="Arial Narrow"/>
          <w:sz w:val="20"/>
          <w:szCs w:val="20"/>
        </w:rPr>
        <w:t>NOEC (14d) dla bezkręgowców morskich: 32 mg/l</w:t>
      </w:r>
    </w:p>
    <w:p>
      <w:pPr>
        <w:pStyle w:val="Normal"/>
        <w:spacing w:lineRule="auto" w:line="240" w:before="0" w:after="0"/>
        <w:rPr>
          <w:rFonts w:ascii="Arial Narrow" w:hAnsi="Arial Narrow"/>
          <w:sz w:val="20"/>
          <w:szCs w:val="20"/>
        </w:rPr>
      </w:pPr>
      <w:r>
        <w:rPr>
          <w:rFonts w:ascii="Arial Narrow" w:hAnsi="Arial Narrow"/>
          <w:sz w:val="20"/>
          <w:szCs w:val="20"/>
        </w:rPr>
        <w:t>EC10/LC10 lub NOEC dla mikroorganizmów glebowych: 2000 mg/kg suchej gleby</w:t>
      </w:r>
    </w:p>
    <w:p>
      <w:pPr>
        <w:pStyle w:val="Normal"/>
        <w:spacing w:lineRule="auto" w:line="240" w:before="0" w:after="0"/>
        <w:rPr>
          <w:rFonts w:ascii="Arial Narrow" w:hAnsi="Arial Narrow"/>
          <w:sz w:val="20"/>
          <w:szCs w:val="20"/>
        </w:rPr>
      </w:pPr>
      <w:r>
        <w:rPr>
          <w:rFonts w:ascii="Arial Narrow" w:hAnsi="Arial Narrow"/>
          <w:sz w:val="20"/>
          <w:szCs w:val="20"/>
        </w:rPr>
        <w:t>EC10/LC10 lub NOEC dla mikroorganizmów glebowych: 12000 mg/kg suchej gleby</w:t>
      </w:r>
    </w:p>
    <w:p>
      <w:pPr>
        <w:pStyle w:val="Normal"/>
        <w:spacing w:lineRule="auto" w:line="240" w:before="0" w:after="0"/>
        <w:rPr>
          <w:rFonts w:ascii="Arial Narrow" w:hAnsi="Arial Narrow"/>
          <w:sz w:val="20"/>
          <w:szCs w:val="20"/>
        </w:rPr>
      </w:pPr>
      <w:r>
        <w:rPr>
          <w:rFonts w:ascii="Arial Narrow" w:hAnsi="Arial Narrow"/>
          <w:sz w:val="20"/>
          <w:szCs w:val="20"/>
        </w:rPr>
        <w:t>NOEC (21d) rośliny lądowe: 1080 mg/kg</w:t>
      </w:r>
    </w:p>
    <w:p>
      <w:pPr>
        <w:pStyle w:val="Normal"/>
        <w:spacing w:lineRule="auto" w:line="240" w:before="0" w:after="0"/>
        <w:rPr>
          <w:rFonts w:ascii="Arial Narrow" w:hAnsi="Arial Narrow"/>
          <w:sz w:val="20"/>
          <w:szCs w:val="20"/>
        </w:rPr>
      </w:pPr>
      <w:r>
        <w:rPr>
          <w:rFonts w:ascii="Arial Narrow" w:hAnsi="Arial Narrow"/>
          <w:sz w:val="20"/>
          <w:szCs w:val="20"/>
        </w:rPr>
        <w:t>Wodorotlenek wapnia w wysokim stężeniu służy do dezynfekcji osadów ściekowych poprzez podwyższenie temperatury i pH.</w:t>
      </w:r>
    </w:p>
    <w:p>
      <w:pPr>
        <w:pStyle w:val="Normal"/>
        <w:spacing w:lineRule="auto" w:line="240" w:before="0" w:after="0"/>
        <w:rPr>
          <w:rFonts w:ascii="Arial Narrow" w:hAnsi="Arial Narrow"/>
          <w:sz w:val="20"/>
          <w:szCs w:val="20"/>
        </w:rPr>
      </w:pPr>
      <w:r>
        <w:rPr>
          <w:rFonts w:ascii="Arial Narrow" w:hAnsi="Arial Narrow"/>
          <w:sz w:val="20"/>
          <w:szCs w:val="20"/>
        </w:rPr>
        <w:t>Ostre działanie poprzez zmianę pH - choć wodorotlenek wapnia służy do regulacji kwasowości wody, jego zawartość może wzrosnąć o więcej niż 1 g/l, co jest niebezpieczne dla organizmów wodnych. Wartość pH &gt; 12 szybko spada w wyniku rozcieńczenia i konwersji do węglanu.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Trwałość i zdolność do rozkładu: </w:t>
      </w:r>
      <w:r>
        <w:rPr>
          <w:rFonts w:ascii="Arial Narrow" w:hAnsi="Arial Narrow"/>
          <w:sz w:val="20"/>
          <w:szCs w:val="20"/>
        </w:rPr>
        <w:t>nie określono dla mieszaniny, ze względu na charakter poszczególnych składników nie przewiduje się</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Zdolność do bioakumulacji:</w:t>
      </w:r>
      <w:r>
        <w:rPr/>
        <w:t xml:space="preserve"> </w:t>
      </w:r>
      <w:r>
        <w:rPr>
          <w:rFonts w:ascii="Arial Narrow" w:hAnsi="Arial Narrow"/>
          <w:sz w:val="20"/>
          <w:szCs w:val="20"/>
        </w:rPr>
        <w:t>nieoznaczony dla mieszaniny, ze względu na charakter poszczególnych składników nie jest oczekiwany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Mobilność w glebie:</w:t>
      </w:r>
      <w:r>
        <w:rPr/>
        <w:t xml:space="preserve"> </w:t>
      </w:r>
      <w:r>
        <w:rPr>
          <w:rFonts w:ascii="Arial Narrow" w:hAnsi="Arial Narrow"/>
          <w:sz w:val="20"/>
          <w:szCs w:val="20"/>
        </w:rPr>
        <w:t>nieoznaczony dla mieszaniny, ze względu na charakter poszczególnych składników nie jest oczekiwany; po stwardnieniu produktu wodą tworzy się stabilny produkt stały. Wodorotlenek wapnia sam w sobie jest trudno rozpuszczalny w wodzie i wykazuje niską ruchliwość w większości gleb. Stosowany jest między innymi jako nawóz.</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Wyniki oceny właściwości PBT i vPvB: </w:t>
      </w:r>
      <w:r>
        <w:rPr>
          <w:rFonts w:ascii="Arial Narrow" w:hAnsi="Arial Narrow"/>
          <w:sz w:val="20"/>
          <w:szCs w:val="20"/>
        </w:rPr>
        <w:t>nie zawiera substancji PBT 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Inne niekorzystne skutki: </w:t>
      </w:r>
      <w:r>
        <w:rPr>
          <w:rFonts w:ascii="Arial Narrow" w:hAnsi="Arial Narrow"/>
          <w:sz w:val="20"/>
          <w:szCs w:val="20"/>
        </w:rPr>
        <w:t>brak danych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ROZDZIAŁ 13. INSTRUKCJE UTYLIZACJI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Metody unieszkodliwiania odpadów (pozostałości po mieszaninach i mieszaninach zanieczyszczonych wodą)</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Odpowiednie metody usuwania mieszaniny i zanieczyszczonych opakowań Zarówno mieszaninę (pozostałości), jak i puste opakowania należy utylizować zgodnie z obowiązującymi przepisami jako odpady niebezpieczne w miejscu wyznaczonym przez gminę do usuwania odpadów niebezpiecznych lub przekazać do utylizacji profesjonalnie wykwalifikowana firma. Odpady należy zabezpieczyć przed przedostaniem się do otoczenia. Przy obchodzeniu się z odpadami zaleca się stosowanie środków ochrony indywidualnej (patrz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Pył: 10 13 06 Zanieczyszczenia stałe i pyły (z wyjątkiem odpadów wymienionych pod numerami 10 13 12 i 10 13 13)</w:t>
      </w:r>
    </w:p>
    <w:p>
      <w:pPr>
        <w:pStyle w:val="Normal"/>
        <w:spacing w:lineRule="auto" w:line="240" w:before="0" w:after="0"/>
        <w:rPr>
          <w:rFonts w:ascii="Arial Narrow" w:hAnsi="Arial Narrow"/>
          <w:sz w:val="20"/>
          <w:szCs w:val="20"/>
        </w:rPr>
      </w:pPr>
      <w:r>
        <w:rPr>
          <w:rFonts w:ascii="Arial Narrow" w:hAnsi="Arial Narrow"/>
          <w:sz w:val="20"/>
          <w:szCs w:val="20"/>
        </w:rPr>
        <w:t>Nieużywany produkt:</w:t>
      </w:r>
    </w:p>
    <w:p>
      <w:pPr>
        <w:pStyle w:val="Normal"/>
        <w:spacing w:lineRule="auto" w:line="240" w:before="0" w:after="0"/>
        <w:rPr>
          <w:rFonts w:ascii="Arial Narrow" w:hAnsi="Arial Narrow"/>
          <w:sz w:val="20"/>
          <w:szCs w:val="20"/>
        </w:rPr>
      </w:pPr>
      <w:r>
        <w:rPr>
          <w:rFonts w:ascii="Arial Narrow" w:hAnsi="Arial Narrow"/>
          <w:sz w:val="20"/>
          <w:szCs w:val="20"/>
        </w:rPr>
        <w:t>10 13 11 Odpady cementowych materiałów kompozytowych inne niż wymienione w 10 13 09 i 10 13 10</w:t>
      </w:r>
    </w:p>
    <w:p>
      <w:pPr>
        <w:pStyle w:val="Normal"/>
        <w:spacing w:lineRule="auto" w:line="240" w:before="0" w:after="0"/>
        <w:rPr>
          <w:rFonts w:ascii="Arial Narrow" w:hAnsi="Arial Narrow"/>
          <w:sz w:val="20"/>
          <w:szCs w:val="20"/>
        </w:rPr>
      </w:pPr>
      <w:r>
        <w:rPr>
          <w:rFonts w:ascii="Arial Narrow" w:hAnsi="Arial Narrow"/>
          <w:sz w:val="20"/>
          <w:szCs w:val="20"/>
        </w:rPr>
        <w:t>10 13 14 Odpady betonu i osady betonowe</w:t>
      </w:r>
    </w:p>
    <w:p>
      <w:pPr>
        <w:pStyle w:val="Normal"/>
        <w:spacing w:lineRule="auto" w:line="240" w:before="0" w:after="0"/>
        <w:rPr>
          <w:rFonts w:ascii="Arial Narrow" w:hAnsi="Arial Narrow"/>
          <w:sz w:val="20"/>
          <w:szCs w:val="20"/>
        </w:rPr>
      </w:pPr>
      <w:r>
        <w:rPr>
          <w:rFonts w:ascii="Arial Narrow" w:hAnsi="Arial Narrow"/>
          <w:sz w:val="20"/>
          <w:szCs w:val="20"/>
        </w:rPr>
        <w:t>Produkt po zmieszaniu z wodą (i stwardnieniu): 17 01 01 Beton</w:t>
      </w:r>
    </w:p>
    <w:p>
      <w:pPr>
        <w:pStyle w:val="Normal"/>
        <w:spacing w:lineRule="auto" w:line="240" w:before="0" w:after="0"/>
        <w:rPr>
          <w:rFonts w:ascii="Arial Narrow" w:hAnsi="Arial Narrow"/>
          <w:sz w:val="20"/>
          <w:szCs w:val="20"/>
        </w:rPr>
      </w:pPr>
      <w:r>
        <w:rPr>
          <w:rFonts w:ascii="Arial Narrow" w:hAnsi="Arial Narrow"/>
          <w:sz w:val="20"/>
          <w:szCs w:val="20"/>
        </w:rPr>
        <w:t>Opakowanie: według konkretnego rodzaju opakowania, grupa opakowań 15 01 xx (głównie 15 01 01 do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Regulacje prawne dotyczące odpadów</w:t>
      </w:r>
    </w:p>
    <w:p>
      <w:pPr>
        <w:pStyle w:val="Normal"/>
        <w:spacing w:lineRule="auto" w:line="240" w:before="0" w:after="0"/>
        <w:rPr>
          <w:rFonts w:ascii="Arial Narrow" w:hAnsi="Arial Narrow"/>
          <w:sz w:val="20"/>
          <w:szCs w:val="20"/>
        </w:rPr>
      </w:pPr>
      <w:r>
        <w:rPr>
          <w:rFonts w:ascii="Arial Narrow" w:hAnsi="Arial Narrow"/>
          <w:sz w:val="20"/>
          <w:szCs w:val="20"/>
        </w:rPr>
        <w:t>Akt nr. 185/2001 Zb. o odpadach, z późniejszymi zmianami, oraz przepisy wykonawcze do niej</w:t>
      </w:r>
    </w:p>
    <w:p>
      <w:pPr>
        <w:pStyle w:val="Normal"/>
        <w:spacing w:lineRule="auto" w:line="240" w:before="0" w:after="0"/>
        <w:rPr>
          <w:rFonts w:ascii="Arial Narrow" w:hAnsi="Arial Narrow"/>
          <w:sz w:val="20"/>
          <w:szCs w:val="20"/>
        </w:rPr>
      </w:pPr>
      <w:r>
        <w:rPr>
          <w:rFonts w:ascii="Arial Narrow" w:hAnsi="Arial Narrow"/>
          <w:sz w:val="20"/>
          <w:szCs w:val="20"/>
        </w:rPr>
        <w:t>Akt nr. 477/2001 Coll., o opakowaniu, z późniejszymi zmianami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14. INFORMACJE O PRZYGOTOWANIU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Produkty nie są w rozumieniu § 22 ust. (1) Ustawa nr 111/1994 Coll. w sprawie przewozu drogowego towarów niebezpiecznych z późniejszymi zmianami i nie podlegają postanowieniom Europejskiej Umowy o przewozie drogowym towarów niebezpiecznych (ADR) ani postanowieniom Regulaminu międzynarodowego przewozu kolejowego towarów niebezpiecznych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Numer UN: nie dotyczy</w:t>
      </w:r>
    </w:p>
    <w:p>
      <w:pPr>
        <w:pStyle w:val="Normal"/>
        <w:spacing w:lineRule="auto" w:line="240" w:before="0" w:after="0"/>
        <w:rPr>
          <w:rFonts w:ascii="Arial Narrow" w:hAnsi="Arial Narrow"/>
          <w:sz w:val="20"/>
          <w:szCs w:val="20"/>
        </w:rPr>
      </w:pPr>
      <w:r>
        <w:rPr>
          <w:rFonts w:ascii="Arial Narrow" w:hAnsi="Arial Narrow"/>
          <w:sz w:val="20"/>
          <w:szCs w:val="20"/>
        </w:rPr>
        <w:t>14.2 Prawidłowa nazwa przewozowa UN: nie dotyczy</w:t>
      </w:r>
    </w:p>
    <w:p>
      <w:pPr>
        <w:pStyle w:val="Normal"/>
        <w:spacing w:lineRule="auto" w:line="240" w:before="0" w:after="0"/>
        <w:rPr>
          <w:rFonts w:ascii="Arial Narrow" w:hAnsi="Arial Narrow"/>
          <w:sz w:val="20"/>
          <w:szCs w:val="20"/>
        </w:rPr>
      </w:pPr>
      <w:r>
        <w:rPr>
          <w:rFonts w:ascii="Arial Narrow" w:hAnsi="Arial Narrow"/>
          <w:sz w:val="20"/>
          <w:szCs w:val="20"/>
        </w:rPr>
        <w:t>14.3 Klasa/klasy zagrożenia w transporcie: nie dotyczy</w:t>
      </w:r>
    </w:p>
    <w:p>
      <w:pPr>
        <w:pStyle w:val="Normal"/>
        <w:spacing w:lineRule="auto" w:line="240" w:before="0" w:after="0"/>
        <w:rPr>
          <w:rFonts w:ascii="Arial Narrow" w:hAnsi="Arial Narrow"/>
          <w:sz w:val="20"/>
          <w:szCs w:val="20"/>
        </w:rPr>
      </w:pPr>
      <w:r>
        <w:rPr>
          <w:rFonts w:ascii="Arial Narrow" w:hAnsi="Arial Narrow"/>
          <w:sz w:val="20"/>
          <w:szCs w:val="20"/>
        </w:rPr>
        <w:t>14.4 Grupa pakowania: nie dotyczy</w:t>
      </w:r>
    </w:p>
    <w:p>
      <w:pPr>
        <w:pStyle w:val="Normal"/>
        <w:spacing w:lineRule="auto" w:line="240" w:before="0" w:after="0"/>
        <w:rPr>
          <w:rFonts w:ascii="Arial Narrow" w:hAnsi="Arial Narrow"/>
          <w:sz w:val="20"/>
          <w:szCs w:val="20"/>
        </w:rPr>
      </w:pPr>
      <w:r>
        <w:rPr>
          <w:rFonts w:ascii="Arial Narrow" w:hAnsi="Arial Narrow"/>
          <w:sz w:val="20"/>
          <w:szCs w:val="20"/>
        </w:rPr>
        <w:t>14.5 Zagrożenie dla środowiska: nie dotyczy</w:t>
      </w:r>
    </w:p>
    <w:p>
      <w:pPr>
        <w:pStyle w:val="Normal"/>
        <w:spacing w:lineRule="auto" w:line="240" w:before="0" w:after="0"/>
        <w:rPr>
          <w:rFonts w:ascii="Arial Narrow" w:hAnsi="Arial Narrow"/>
          <w:sz w:val="20"/>
          <w:szCs w:val="20"/>
        </w:rPr>
      </w:pPr>
      <w:r>
        <w:rPr>
          <w:rFonts w:ascii="Arial Narrow" w:hAnsi="Arial Narrow"/>
          <w:sz w:val="20"/>
          <w:szCs w:val="20"/>
        </w:rPr>
        <w:t>14.6 Szczególne środki bezpieczeństwa użytkownika: nie dotyczy</w:t>
      </w:r>
    </w:p>
    <w:p>
      <w:pPr>
        <w:pStyle w:val="Normal"/>
        <w:spacing w:lineRule="auto" w:line="240" w:before="0" w:after="0"/>
        <w:rPr>
          <w:rFonts w:ascii="Arial Narrow" w:hAnsi="Arial Narrow"/>
          <w:sz w:val="20"/>
          <w:szCs w:val="20"/>
        </w:rPr>
      </w:pPr>
      <w:r>
        <w:rPr>
          <w:rFonts w:ascii="Arial Narrow" w:hAnsi="Arial Narrow"/>
          <w:sz w:val="20"/>
          <w:szCs w:val="20"/>
        </w:rPr>
        <w:t>14.7 Przewóz ładunków masowych zgodnie z załącznikiem II do Konwencji MARPOL i Kodeksem IBC: nie dotyczy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15. INFORMACJE PRZEPISY PRAWNE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Przepisy/przepisy dotyczące bezpieczeństwa, zdrowia i ochrony środowiska specyficzne dla substancji lub mieszaniny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Rozporządzenie PE i Rady (WE) nr. 1907/2006 w sprawie rejestracji, oceny, udzielania zezwoleń i ograniczeń w zakresie substancji chemicznych (REACH) z późniejszymi zmianami; 1272/2008 w sprawie klasyfikacji, oznakowania i pakowania substancji i mieszanin (CLP), ze zmianami;</w:t>
      </w:r>
    </w:p>
    <w:p>
      <w:pPr>
        <w:pStyle w:val="Normal"/>
        <w:spacing w:lineRule="auto" w:line="240" w:before="0" w:after="0"/>
        <w:rPr>
          <w:rFonts w:ascii="Arial Narrow" w:hAnsi="Arial Narrow"/>
          <w:sz w:val="20"/>
          <w:szCs w:val="20"/>
        </w:rPr>
      </w:pPr>
      <w:r>
        <w:rPr>
          <w:rFonts w:ascii="Arial Narrow" w:hAnsi="Arial Narrow"/>
          <w:sz w:val="20"/>
          <w:szCs w:val="20"/>
        </w:rPr>
        <w:t>Dyrektywa 67/548/EWG w sprawie zbliżenia ustawodawstwa odnoszącego się do klasyfikacji, pakowania i etykietowania substancji niebezpiecznych (DSD);</w:t>
      </w:r>
    </w:p>
    <w:p>
      <w:pPr>
        <w:pStyle w:val="Normal"/>
        <w:spacing w:lineRule="auto" w:line="240" w:before="0" w:after="0"/>
        <w:rPr>
          <w:rFonts w:ascii="Arial Narrow" w:hAnsi="Arial Narrow"/>
          <w:sz w:val="20"/>
          <w:szCs w:val="20"/>
        </w:rPr>
      </w:pPr>
      <w:r>
        <w:rPr>
          <w:rFonts w:ascii="Arial Narrow" w:hAnsi="Arial Narrow"/>
          <w:sz w:val="20"/>
          <w:szCs w:val="20"/>
        </w:rPr>
        <w:t>Dyrektywa 1999/45/WE w sprawie zbliżenia środków prawnych i administracyjnych państw członkowskich w zakresie klasyfikacji, pakowania i etykietowania preparatów niebezpiecznych z późniejszymi zmianami (DPD);</w:t>
      </w:r>
    </w:p>
    <w:p>
      <w:pPr>
        <w:pStyle w:val="Normal"/>
        <w:spacing w:lineRule="auto" w:line="240" w:before="0" w:after="0"/>
        <w:rPr>
          <w:rFonts w:ascii="Arial Narrow" w:hAnsi="Arial Narrow"/>
          <w:sz w:val="20"/>
          <w:szCs w:val="20"/>
        </w:rPr>
      </w:pPr>
      <w:r>
        <w:rPr>
          <w:rFonts w:ascii="Arial Narrow" w:hAnsi="Arial Narrow"/>
          <w:sz w:val="20"/>
          <w:szCs w:val="20"/>
        </w:rPr>
        <w:t>Europejska umowa o międzynarodowym przewozie drogowym towarów niebezpiecznych (ADR)</w:t>
      </w:r>
    </w:p>
    <w:p>
      <w:pPr>
        <w:pStyle w:val="Normal"/>
        <w:spacing w:lineRule="auto" w:line="240" w:before="0" w:after="0"/>
        <w:rPr>
          <w:rFonts w:ascii="Arial Narrow" w:hAnsi="Arial Narrow"/>
          <w:sz w:val="20"/>
          <w:szCs w:val="20"/>
        </w:rPr>
      </w:pPr>
      <w:r>
        <w:rPr>
          <w:rFonts w:ascii="Arial Narrow" w:hAnsi="Arial Narrow"/>
          <w:sz w:val="20"/>
          <w:szCs w:val="20"/>
        </w:rPr>
        <w:t>Prawo nr. 258/2000 Zb. w sprawie ochrony zdrowia publicznego, z późniejszymi zmianami;</w:t>
      </w:r>
    </w:p>
    <w:p>
      <w:pPr>
        <w:pStyle w:val="Normal"/>
        <w:spacing w:lineRule="auto" w:line="240" w:before="0" w:after="0"/>
        <w:rPr>
          <w:rFonts w:ascii="Arial Narrow" w:hAnsi="Arial Narrow"/>
          <w:sz w:val="20"/>
          <w:szCs w:val="20"/>
        </w:rPr>
      </w:pPr>
      <w:r>
        <w:rPr>
          <w:rFonts w:ascii="Arial Narrow" w:hAnsi="Arial Narrow"/>
          <w:sz w:val="20"/>
          <w:szCs w:val="20"/>
        </w:rPr>
        <w:t>Ustawa 262/2006 Sb., Kodeks pracy, z późn. zm.;</w:t>
      </w:r>
    </w:p>
    <w:p>
      <w:pPr>
        <w:pStyle w:val="Normal"/>
        <w:spacing w:lineRule="auto" w:line="240" w:before="0" w:after="0"/>
        <w:rPr>
          <w:rFonts w:ascii="Arial Narrow" w:hAnsi="Arial Narrow"/>
          <w:sz w:val="20"/>
          <w:szCs w:val="20"/>
        </w:rPr>
      </w:pPr>
      <w:r>
        <w:rPr>
          <w:rFonts w:ascii="Arial Narrow" w:hAnsi="Arial Narrow"/>
          <w:sz w:val="20"/>
          <w:szCs w:val="20"/>
        </w:rPr>
        <w:t>Rozporządzenie Rządu nr. 361/2007 Dz.U., Ustalanie warunków ochrony zdrowia pracowników w miejscu pracy, z późn. zm.; 201/2012 Zb. w sprawie ochrony powietrza i przepisów wykonawczych;</w:t>
      </w:r>
    </w:p>
    <w:p>
      <w:pPr>
        <w:pStyle w:val="Normal"/>
        <w:spacing w:lineRule="auto" w:line="240" w:before="0" w:after="0"/>
        <w:rPr>
          <w:rFonts w:ascii="Arial Narrow" w:hAnsi="Arial Narrow"/>
          <w:sz w:val="20"/>
          <w:szCs w:val="20"/>
        </w:rPr>
      </w:pPr>
      <w:r>
        <w:rPr>
          <w:rFonts w:ascii="Arial Narrow" w:hAnsi="Arial Narrow"/>
          <w:sz w:val="20"/>
          <w:szCs w:val="20"/>
        </w:rPr>
        <w:t>Prawo nr. 185 / 2001Poz. w sprawie odpadów, z późniejszymi zmianami, oraz przepisy wykonawcze do niej;</w:t>
      </w:r>
    </w:p>
    <w:p>
      <w:pPr>
        <w:pStyle w:val="Normal"/>
        <w:spacing w:lineRule="auto" w:line="240" w:before="0" w:after="0"/>
        <w:rPr>
          <w:rFonts w:ascii="Arial Narrow" w:hAnsi="Arial Narrow"/>
          <w:sz w:val="20"/>
          <w:szCs w:val="20"/>
        </w:rPr>
      </w:pPr>
      <w:r>
        <w:rPr>
          <w:rFonts w:ascii="Arial Narrow" w:hAnsi="Arial Narrow"/>
          <w:sz w:val="20"/>
          <w:szCs w:val="20"/>
        </w:rPr>
        <w:t>Prawo nr. 477/2001 Zb. na opakowaniu ze zmianami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Ocena bezpieczeństwa chemicznego: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Na potrzeby rejestracji pyłów z produkcji klinkieru portlandzkiego przeprowadzono ocenę bezpieczeństwa chemicznego dla szeregu scenariuszy jego stosowania, w tym scenariuszy stosowania w suchych mieszankach zaprawowych. Wszystkie istotne wnioski z oceny tej substancji, które można zastosować także do klinkieru cementowego, zawarte są w niniejszej karcie charakterystyki. Mieszanki zaprawowe są wyrobem przeznaczonym do użytku końcowego, dlatego też do karty charakterystyki nie są dołączone żadne inne scenariusze narażenia.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SEKCJA 16. DALSZE INFORMACJE</w:t>
      </w:r>
    </w:p>
    <w:p>
      <w:pPr>
        <w:pStyle w:val="Normal"/>
        <w:spacing w:lineRule="auto" w:line="240" w:before="0" w:after="0"/>
        <w:rPr>
          <w:rFonts w:ascii="Arial Narrow" w:hAnsi="Arial Narrow"/>
          <w:b/>
          <w:b/>
          <w:sz w:val="20"/>
          <w:szCs w:val="20"/>
        </w:rPr>
      </w:pPr>
      <w:r>
        <w:rPr>
          <w:rFonts w:ascii="Arial Narrow" w:hAnsi="Arial Narrow"/>
          <w:b/>
          <w:sz w:val="20"/>
          <w:szCs w:val="20"/>
        </w:rPr>
        <w:t>Zwrot R:</w:t>
      </w:r>
    </w:p>
    <w:p>
      <w:pPr>
        <w:pStyle w:val="Normal"/>
        <w:spacing w:lineRule="auto" w:line="240" w:before="0" w:after="0"/>
        <w:rPr>
          <w:rFonts w:ascii="Arial Narrow" w:hAnsi="Arial Narrow"/>
          <w:sz w:val="20"/>
          <w:szCs w:val="20"/>
        </w:rPr>
      </w:pPr>
      <w:r>
        <w:rPr>
          <w:rFonts w:ascii="Arial Narrow" w:hAnsi="Arial Narrow"/>
          <w:sz w:val="20"/>
          <w:szCs w:val="20"/>
        </w:rPr>
        <w:t>R 20/22 Działa szkodliwie przez drogi oddechowe i po połknięciu</w:t>
      </w:r>
    </w:p>
    <w:p>
      <w:pPr>
        <w:pStyle w:val="Normal"/>
        <w:spacing w:lineRule="auto" w:line="240" w:before="0" w:after="0"/>
        <w:rPr>
          <w:rFonts w:ascii="Arial Narrow" w:hAnsi="Arial Narrow"/>
          <w:sz w:val="20"/>
          <w:szCs w:val="20"/>
        </w:rPr>
      </w:pPr>
      <w:r>
        <w:rPr>
          <w:rFonts w:ascii="Arial Narrow" w:hAnsi="Arial Narrow"/>
          <w:sz w:val="20"/>
          <w:szCs w:val="20"/>
        </w:rPr>
        <w:t>R 36 Działa drażniąco na oczy</w:t>
      </w:r>
    </w:p>
    <w:p>
      <w:pPr>
        <w:pStyle w:val="Normal"/>
        <w:spacing w:lineRule="auto" w:line="240" w:before="0" w:after="0"/>
        <w:rPr>
          <w:rFonts w:ascii="Arial Narrow" w:hAnsi="Arial Narrow"/>
          <w:sz w:val="20"/>
          <w:szCs w:val="20"/>
        </w:rPr>
      </w:pPr>
      <w:r>
        <w:rPr>
          <w:rFonts w:ascii="Arial Narrow" w:hAnsi="Arial Narrow"/>
          <w:sz w:val="20"/>
          <w:szCs w:val="20"/>
        </w:rPr>
        <w:t>R 37 Działa drażniąco na drogi oddechowe</w:t>
      </w:r>
    </w:p>
    <w:p>
      <w:pPr>
        <w:pStyle w:val="Normal"/>
        <w:spacing w:lineRule="auto" w:line="240" w:before="0" w:after="0"/>
        <w:rPr>
          <w:rFonts w:ascii="Arial Narrow" w:hAnsi="Arial Narrow"/>
          <w:sz w:val="20"/>
          <w:szCs w:val="20"/>
        </w:rPr>
      </w:pPr>
      <w:r>
        <w:rPr>
          <w:rFonts w:ascii="Arial Narrow" w:hAnsi="Arial Narrow"/>
          <w:sz w:val="20"/>
          <w:szCs w:val="20"/>
        </w:rPr>
        <w:t>R 38 Działa drażniąco na skórę</w:t>
      </w:r>
    </w:p>
    <w:p>
      <w:pPr>
        <w:pStyle w:val="Normal"/>
        <w:spacing w:lineRule="auto" w:line="240" w:before="0" w:after="0"/>
        <w:rPr>
          <w:rFonts w:ascii="Arial Narrow" w:hAnsi="Arial Narrow"/>
          <w:sz w:val="20"/>
          <w:szCs w:val="20"/>
        </w:rPr>
      </w:pPr>
      <w:r>
        <w:rPr>
          <w:rFonts w:ascii="Arial Narrow" w:hAnsi="Arial Narrow"/>
          <w:sz w:val="20"/>
          <w:szCs w:val="20"/>
        </w:rPr>
        <w:t>R 41 Ryzyko poważnego uszkodzenia oczu</w:t>
      </w:r>
    </w:p>
    <w:p>
      <w:pPr>
        <w:pStyle w:val="Normal"/>
        <w:spacing w:lineRule="auto" w:line="240" w:before="0" w:after="0"/>
        <w:rPr>
          <w:rFonts w:ascii="Arial Narrow" w:hAnsi="Arial Narrow"/>
          <w:sz w:val="20"/>
          <w:szCs w:val="20"/>
        </w:rPr>
      </w:pPr>
      <w:r>
        <w:rPr>
          <w:rFonts w:ascii="Arial Narrow" w:hAnsi="Arial Narrow"/>
          <w:sz w:val="20"/>
          <w:szCs w:val="20"/>
        </w:rPr>
        <w:t>R 43 Może powodować uczulenie w kontakcie ze skórą</w:t>
      </w:r>
    </w:p>
    <w:p>
      <w:pPr>
        <w:pStyle w:val="Normal"/>
        <w:spacing w:lineRule="auto" w:line="240" w:before="0" w:after="0"/>
        <w:rPr>
          <w:rFonts w:ascii="Arial Narrow" w:hAnsi="Arial Narrow"/>
          <w:b/>
          <w:b/>
          <w:sz w:val="20"/>
          <w:szCs w:val="20"/>
        </w:rPr>
      </w:pPr>
      <w:r>
        <w:rPr>
          <w:rFonts w:ascii="Arial Narrow" w:hAnsi="Arial Narrow"/>
          <w:b/>
          <w:sz w:val="20"/>
          <w:szCs w:val="20"/>
        </w:rPr>
        <w:t>Zwrot H:</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Działa drażniąco na skórę.</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Może powodować reakcję alergiczną skóry.</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Powoduje poważne uszkodzenie oczu.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Może powodować podrażnienie dróg oddechowych.</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Zdanie P:</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Jeżeli konieczna jest pomoc lekarska, należy przygotować opakowanie lub etykietę producenta.</w:t>
      </w:r>
    </w:p>
    <w:p>
      <w:pPr>
        <w:pStyle w:val="Normal"/>
        <w:spacing w:lineRule="auto" w:line="240" w:before="0" w:after="0"/>
        <w:rPr>
          <w:rFonts w:ascii="Arial Narrow" w:hAnsi="Arial Narrow"/>
          <w:sz w:val="20"/>
          <w:szCs w:val="20"/>
        </w:rPr>
      </w:pPr>
      <w:r>
        <w:rPr>
          <w:rFonts w:ascii="Arial Narrow" w:hAnsi="Arial Narrow"/>
          <w:sz w:val="20"/>
          <w:szCs w:val="20"/>
        </w:rPr>
        <w:t>P102 Chronić przed dziećmi.</w:t>
      </w:r>
    </w:p>
    <w:p>
      <w:pPr>
        <w:pStyle w:val="Normal"/>
        <w:spacing w:lineRule="auto" w:line="240" w:before="0" w:after="0"/>
        <w:rPr>
          <w:rFonts w:ascii="Arial Narrow" w:hAnsi="Arial Narrow"/>
          <w:sz w:val="20"/>
          <w:szCs w:val="20"/>
        </w:rPr>
      </w:pPr>
      <w:r>
        <w:rPr>
          <w:rFonts w:ascii="Arial Narrow" w:hAnsi="Arial Narrow"/>
          <w:sz w:val="20"/>
          <w:szCs w:val="20"/>
        </w:rPr>
        <w:t>P261 Unikać wdychania pyłu.</w:t>
      </w:r>
    </w:p>
    <w:p>
      <w:pPr>
        <w:pStyle w:val="Normal"/>
        <w:spacing w:lineRule="auto" w:line="240" w:before="0" w:after="0"/>
        <w:rPr>
          <w:rFonts w:ascii="Arial Narrow" w:hAnsi="Arial Narrow"/>
          <w:sz w:val="20"/>
          <w:szCs w:val="20"/>
        </w:rPr>
      </w:pPr>
      <w:r>
        <w:rPr>
          <w:rFonts w:ascii="Arial Narrow" w:hAnsi="Arial Narrow"/>
          <w:sz w:val="20"/>
          <w:szCs w:val="20"/>
        </w:rPr>
        <w:t>P280 Stosować rękawice ochronne/odzież ochronną/okulary ochronne/osłonę twarzy.</w:t>
      </w:r>
    </w:p>
    <w:p>
      <w:pPr>
        <w:pStyle w:val="Normal"/>
        <w:spacing w:lineRule="auto" w:line="240" w:before="0" w:after="0"/>
        <w:rPr>
          <w:rFonts w:ascii="Arial Narrow" w:hAnsi="Arial Narrow"/>
          <w:sz w:val="20"/>
          <w:szCs w:val="20"/>
        </w:rPr>
      </w:pPr>
      <w:r>
        <w:rPr>
          <w:rFonts w:ascii="Arial Narrow" w:hAnsi="Arial Narrow"/>
          <w:sz w:val="20"/>
          <w:szCs w:val="20"/>
        </w:rPr>
        <w:t>P305 + P351 + P338: W PRZYPADKU DOSTANIA SIĘ DO OCZU: Ostrożnie płukać wodą przez kilka minut. Wyjmij soczewki kontaktowe, jeśli są noszone i wyjmij je, jeśli to możliwe. Kontynuuj płukanie.</w:t>
      </w:r>
    </w:p>
    <w:p>
      <w:pPr>
        <w:pStyle w:val="Normal"/>
        <w:spacing w:lineRule="auto" w:line="240" w:before="0" w:after="0"/>
        <w:rPr>
          <w:rFonts w:ascii="Arial Narrow" w:hAnsi="Arial Narrow"/>
          <w:sz w:val="20"/>
          <w:szCs w:val="20"/>
        </w:rPr>
      </w:pPr>
      <w:r>
        <w:rPr>
          <w:rFonts w:ascii="Arial Narrow" w:hAnsi="Arial Narrow"/>
          <w:sz w:val="20"/>
          <w:szCs w:val="20"/>
        </w:rPr>
        <w:t>P310: Natychmiast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P302 + P352: W PRZYPADKU KONTAKTU ZE SKÓRĄ: Umyć dużą ilością wody z mydłem. W przypadku podrażnienia skóry lub wysypki</w:t>
      </w:r>
    </w:p>
    <w:p>
      <w:pPr>
        <w:pStyle w:val="Normal"/>
        <w:spacing w:lineRule="auto" w:line="240" w:before="0" w:after="0"/>
        <w:rPr>
          <w:rFonts w:ascii="Arial Narrow" w:hAnsi="Arial Narrow"/>
          <w:sz w:val="20"/>
          <w:szCs w:val="20"/>
        </w:rPr>
      </w:pPr>
      <w:r>
        <w:rPr>
          <w:rFonts w:ascii="Arial Narrow" w:hAnsi="Arial Narrow"/>
          <w:sz w:val="20"/>
          <w:szCs w:val="20"/>
        </w:rPr>
        <w:t>P333 + P313: Zapewnić pomoc lekarską.</w:t>
      </w:r>
    </w:p>
    <w:p>
      <w:pPr>
        <w:pStyle w:val="Normal"/>
        <w:spacing w:lineRule="auto" w:line="240" w:before="0" w:after="0"/>
        <w:rPr>
          <w:rFonts w:ascii="Arial Narrow" w:hAnsi="Arial Narrow"/>
          <w:sz w:val="20"/>
          <w:szCs w:val="20"/>
        </w:rPr>
      </w:pPr>
      <w:r>
        <w:rPr>
          <w:rFonts w:ascii="Arial Narrow" w:hAnsi="Arial Narrow"/>
          <w:sz w:val="20"/>
          <w:szCs w:val="20"/>
        </w:rPr>
        <w:t>P304 + P340: W PRZYPADKU DOSTANIA SIĘ DO DRÓG ODDECHOWYCH: wyprowadzić osobę na świeże powietrze i zachować pozycję ułatwiającą oddychanie.</w:t>
      </w:r>
    </w:p>
    <w:p>
      <w:pPr>
        <w:pStyle w:val="Normal"/>
        <w:spacing w:lineRule="auto" w:line="240" w:before="0" w:after="0"/>
        <w:rPr>
          <w:rFonts w:ascii="Arial Narrow" w:hAnsi="Arial Narrow"/>
          <w:sz w:val="20"/>
          <w:szCs w:val="20"/>
        </w:rPr>
      </w:pPr>
      <w:r>
        <w:rPr>
          <w:rFonts w:ascii="Arial Narrow" w:hAnsi="Arial Narrow"/>
          <w:sz w:val="20"/>
          <w:szCs w:val="20"/>
        </w:rPr>
        <w:t>P312 W przypadku złego samopoczucia skontaktować się z OŚRODKIEM ZATRUĆ lub lekarzem.</w:t>
      </w:r>
    </w:p>
    <w:p>
      <w:pPr>
        <w:pStyle w:val="Normal"/>
        <w:spacing w:lineRule="auto" w:line="240" w:before="0" w:after="0"/>
        <w:rPr>
          <w:rFonts w:ascii="Arial Narrow" w:hAnsi="Arial Narrow"/>
          <w:sz w:val="20"/>
          <w:szCs w:val="20"/>
        </w:rPr>
      </w:pPr>
      <w:r>
        <w:rPr>
          <w:rFonts w:ascii="Arial Narrow" w:hAnsi="Arial Narrow"/>
          <w:sz w:val="20"/>
          <w:szCs w:val="20"/>
        </w:rPr>
        <w:t>P501 Zawartość/opakowanie usuwać w punkcie zbiórki wyznaczonym zgodnie z lokalnymi przepisami.</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Strona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z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11</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Karta charakterystyki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z załącznikiem II REACH Rozporządzenie WE nr. 1907/2006 i rozporządzenie (WE) nr.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Utworzono: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pl-PL"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pl-PL"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pl-PL"/>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pl-PL"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pl-PL"/>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pl-PL"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pl-PL"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pl-PL"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3844</Words>
  <Characters>25275</Characters>
  <CharactersWithSpaces>28892</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2025-01-22T09:28:43Z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