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Del 1. IDENTIFIKATION AF STOF/BLANDING OG VIRKSOMHED/VIRKSOMHED</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ind w:left="360" w:right="0" w:hanging="360"/>
        <w:contextualSpacing/>
        <w:rPr>
          <w:rFonts w:ascii="Arial Narrow" w:hAnsi="Arial Narrow"/>
          <w:b/>
          <w:b/>
          <w:iCs/>
          <w:sz w:val="20"/>
          <w:szCs w:val="20"/>
        </w:rPr>
      </w:pPr>
      <w:r>
        <w:rPr>
          <w:rFonts w:ascii="Arial Narrow" w:hAnsi="Arial Narrow"/>
          <w:b/>
          <w:iCs/>
          <w:sz w:val="20"/>
          <w:szCs w:val="20"/>
        </w:rPr>
        <w:t>Produkt-id:</w:t>
      </w:r>
    </w:p>
    <w:p>
      <w:pPr>
        <w:pStyle w:val="Normal"/>
        <w:spacing w:before="0" w:after="0"/>
        <w:rPr>
          <w:rFonts w:ascii="Arial Narrow" w:hAnsi="Arial Narrow"/>
          <w:iCs/>
          <w:sz w:val="20"/>
          <w:szCs w:val="20"/>
        </w:rPr>
      </w:pPr>
      <w:r>
        <w:rPr>
          <w:rFonts w:ascii="Arial Narrow" w:hAnsi="Arial Narrow"/>
          <w:iCs/>
          <w:sz w:val="20"/>
          <w:szCs w:val="20"/>
        </w:rPr>
      </w:r>
    </w:p>
    <w:p>
      <w:pPr>
        <w:pStyle w:val="Normal"/>
        <w:spacing w:before="0" w:after="0"/>
        <w:rPr/>
      </w:pPr>
      <w:r>
        <w:rPr>
          <w:rFonts w:ascii="Arial Narrow" w:hAnsi="Arial Narrow"/>
          <w:iCs/>
          <w:sz w:val="20"/>
          <w:szCs w:val="20"/>
        </w:rPr>
        <w:t>Produktnavn:</w:t>
      </w:r>
      <w:r>
        <w:rPr>
          <w:rFonts w:ascii="Arial Narrow" w:hAnsi="Arial Narrow"/>
          <w:b/>
          <w:iCs/>
          <w:sz w:val="20"/>
          <w:szCs w:val="20"/>
        </w:rPr>
        <w:t xml:space="preserve"> </w:t>
        <w:tab/>
      </w:r>
      <w:r>
        <w:rPr>
          <w:rFonts w:cs="DejaVu Sans" w:ascii="Arial Narrow" w:hAnsi="Arial Narrow"/>
          <w:b/>
          <w:bCs/>
          <w:sz w:val="20"/>
          <w:szCs w:val="20"/>
        </w:rPr>
        <w:t>IsoTex R70</w:t>
      </w:r>
    </w:p>
    <w:p>
      <w:pPr>
        <w:pStyle w:val="Normal"/>
        <w:spacing w:lineRule="auto" w:line="240" w:before="0" w:after="0"/>
        <w:ind w:left="1410" w:right="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Andre navne: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ind w:left="360" w:right="0" w:hanging="360"/>
        <w:contextualSpacing/>
        <w:jc w:val="both"/>
        <w:rPr>
          <w:rFonts w:ascii="Arial Narrow" w:hAnsi="Arial Narrow"/>
          <w:iCs/>
          <w:sz w:val="20"/>
          <w:szCs w:val="20"/>
        </w:rPr>
      </w:pPr>
      <w:r>
        <w:rPr>
          <w:rFonts w:ascii="Arial Narrow" w:hAnsi="Arial Narrow"/>
          <w:iCs/>
          <w:sz w:val="20"/>
          <w:szCs w:val="20"/>
        </w:rPr>
        <w:t>Kemisk beskrivelse: Tør gipsblanding, Portlandcementblanding og tilsætningsstoffer i henhold til STN EN 998-1 Kemisk navn Portlandcement CAS-nummer: 65997-15-1 EC-nummer (EINECS): 266-043-4, Calciumhydroxid CAS-nummer: 1305. - 620 EC-nummer (EINECS): 215-137-3</w:t>
      </w:r>
    </w:p>
    <w:p>
      <w:pPr>
        <w:pStyle w:val="Normal"/>
        <w:spacing w:lineRule="auto" w:line="240" w:before="0" w:after="0"/>
        <w:jc w:val="both"/>
        <w:rPr>
          <w:rFonts w:ascii="Arial Narrow" w:hAnsi="Arial Narrow"/>
          <w:b/>
          <w:b/>
          <w:sz w:val="20"/>
          <w:szCs w:val="20"/>
        </w:rPr>
      </w:pPr>
      <w:r>
        <w:rPr>
          <w:rFonts w:ascii="Arial Narrow" w:hAnsi="Arial Narrow"/>
          <w:b/>
          <w:sz w:val="20"/>
          <w:szCs w:val="20"/>
        </w:rPr>
        <w:t>1.3. Relevante identificerede anvendelser af stoffet eller blandingen og anvendelser:</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Pudsen er beregnet til manuel eller maskinel påføring udenfor eller inde i bygninger. Pudsen er kendetegnet ved høj vedhæftning til underlaget, nem påføring, reduceret overfladeoptagelse og forlænget bearbejdningstid. Frostbestandigt, vejrbestandigt, pudset har lang levetid og lav absorption.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Fabrikant identifikation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Fremstillet i EU for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Telefon: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E-mail: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Hjemmeside: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Telefonnummer til nødstilfælde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Toksikologisk informationscenter, Na bojišti 1, 128 08 Prag 2</w:t>
      </w:r>
    </w:p>
    <w:p>
      <w:pPr>
        <w:pStyle w:val="Normal"/>
        <w:spacing w:lineRule="auto" w:line="240" w:before="0" w:after="0"/>
        <w:rPr>
          <w:rFonts w:ascii="Arial Narrow" w:hAnsi="Arial Narrow"/>
          <w:sz w:val="20"/>
          <w:szCs w:val="20"/>
        </w:rPr>
      </w:pPr>
      <w:r>
        <w:rPr>
          <w:rFonts w:ascii="Arial Narrow" w:hAnsi="Arial Narrow"/>
          <w:sz w:val="20"/>
          <w:szCs w:val="20"/>
        </w:rPr>
        <w:t>Telefon: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 xml:space="preserve">2. </w:t>
        <w:tab/>
        <w:tab/>
        <w:t>FAREIDENTIFIKATION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Klassificering af stoffet eller blandingen: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Klassificering i henhold til forordning (EF)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Hudirritation, kategori 2: </w:t>
        <w:tab/>
        <w:t>H315 irriterer huden.</w:t>
      </w:r>
    </w:p>
    <w:p>
      <w:pPr>
        <w:pStyle w:val="Normal"/>
        <w:spacing w:lineRule="auto" w:line="240" w:before="0" w:after="0"/>
        <w:rPr>
          <w:rFonts w:ascii="Arial Narrow" w:hAnsi="Arial Narrow"/>
          <w:sz w:val="20"/>
          <w:szCs w:val="20"/>
        </w:rPr>
      </w:pPr>
      <w:r>
        <w:rPr>
          <w:rFonts w:ascii="Arial Narrow" w:hAnsi="Arial Narrow"/>
          <w:sz w:val="20"/>
          <w:szCs w:val="20"/>
        </w:rPr>
        <w:t xml:space="preserve">Alvorlig øjenskade, Kategori 1: </w:t>
        <w:tab/>
        <w:t>H318 Forårsager alvorlig øjenskade.</w:t>
      </w:r>
    </w:p>
    <w:p>
      <w:pPr>
        <w:pStyle w:val="Normal"/>
        <w:spacing w:lineRule="auto" w:line="240" w:before="0" w:after="0"/>
        <w:rPr>
          <w:rFonts w:ascii="Arial Narrow" w:hAnsi="Arial Narrow"/>
          <w:sz w:val="20"/>
          <w:szCs w:val="20"/>
        </w:rPr>
      </w:pPr>
      <w:r>
        <w:rPr>
          <w:rFonts w:ascii="Arial Narrow" w:hAnsi="Arial Narrow"/>
          <w:sz w:val="20"/>
          <w:szCs w:val="20"/>
        </w:rPr>
        <w:t xml:space="preserve">Hudsensibilisering, kategori 1B, </w:t>
        <w:tab/>
        <w:t>H317 Kan forårsage en allergisk hudreaktion.</w:t>
      </w:r>
    </w:p>
    <w:p>
      <w:pPr>
        <w:pStyle w:val="Normal"/>
        <w:spacing w:lineRule="auto" w:line="240" w:before="0" w:after="0"/>
        <w:rPr>
          <w:rFonts w:ascii="Arial Narrow" w:hAnsi="Arial Narrow"/>
          <w:sz w:val="20"/>
          <w:szCs w:val="20"/>
        </w:rPr>
      </w:pPr>
      <w:r>
        <w:rPr>
          <w:rFonts w:ascii="Arial Narrow" w:hAnsi="Arial Narrow"/>
          <w:sz w:val="20"/>
          <w:szCs w:val="20"/>
        </w:rPr>
        <w:t>Specifik målorgantoksicitet - enkelt eksponering, Kategori 3, H335 Kan forårsage irritation af luftvejene.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mærkningselementer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Faresymbol:</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2">
            <wp:simplePos x="0" y="0"/>
            <wp:positionH relativeFrom="column">
              <wp:posOffset>894715</wp:posOffset>
            </wp:positionH>
            <wp:positionV relativeFrom="paragraph">
              <wp:posOffset>48895</wp:posOffset>
            </wp:positionV>
            <wp:extent cx="828040" cy="828040"/>
            <wp:effectExtent l="0" t="0" r="0" b="0"/>
            <wp:wrapTight wrapText="bothSides">
              <wp:wrapPolygon edited="0">
                <wp:start x="-36" y="0"/>
                <wp:lineTo x="-36" y="20842"/>
                <wp:lineTo x="20840" y="20842"/>
                <wp:lineTo x="20840" y="0"/>
                <wp:lineTo x="-36"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2.1pt;margin-top:3.85pt;width:65.2pt;height:65.2pt;mso-wrap-distance-right:0pt;mso-position-horizontal-relative:text;mso-position-vertical-relative:text" filled="f" o:ole="">
            <v:imagedata r:id="rId4" o:title=""/>
            <w10:wrap type="tight"/>
          </v:shape>
          <o:OLEObject Type="Embed" ProgID="" ShapeID="ole_rId3" DrawAspect="Content" ObjectID="_1469778295" r:id="rId3"/>
        </w:object>
      </w:r>
    </w:p>
    <w:p>
      <w:pPr>
        <w:pStyle w:val="Normal"/>
        <w:spacing w:lineRule="auto" w:line="240" w:before="0" w:after="0"/>
        <w:rPr>
          <w:rFonts w:ascii="Arial Narrow" w:hAnsi="Arial Narrow"/>
          <w:b/>
          <w:b/>
          <w:sz w:val="20"/>
          <w:szCs w:val="20"/>
        </w:rPr>
      </w:pPr>
      <w:r>
        <w:rPr>
          <w:rFonts w:ascii="Arial Narrow" w:hAnsi="Arial Narrow"/>
          <w:b/>
          <w:sz w:val="20"/>
          <w:szCs w:val="20"/>
        </w:rPr>
        <w:t>advarselsord:</w:t>
      </w:r>
    </w:p>
    <w:p>
      <w:pPr>
        <w:pStyle w:val="Normal"/>
        <w:spacing w:lineRule="auto" w:line="240" w:before="0" w:after="0"/>
        <w:rPr>
          <w:rFonts w:ascii="Arial Narrow" w:hAnsi="Arial Narrow"/>
          <w:sz w:val="20"/>
          <w:szCs w:val="20"/>
        </w:rPr>
      </w:pPr>
      <w:r>
        <w:rPr>
          <w:rFonts w:ascii="Arial Narrow" w:hAnsi="Arial Narrow"/>
          <w:sz w:val="20"/>
          <w:szCs w:val="20"/>
        </w:rPr>
        <w:t>Fare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Standard faresætninger: </w:t>
      </w:r>
      <w:r>
        <w:rPr>
          <w:rFonts w:ascii="Arial Narrow" w:hAnsi="Arial Narrow"/>
          <w:sz w:val="16"/>
          <w:szCs w:val="16"/>
        </w:rPr>
        <w:t>Portland cement ( CAS: 65997-15-1 )</w:t>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Irriterer huden.</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Forårsager alvorlig øjenskade.</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Kan forårsage irritation af luftvejene.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Instruktioner for sikker håndtering:</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Hvis der er behov for lægehjælp, hav beholderen eller producentens etiket til rådighed.</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Opbevares utilgængeligt for børn.</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Undgå indånding af støv.</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Brug beskyttelseshandsker / beskyttelsestøj / sikkerhedsbriller / ansigtsskærm.</w:t>
      </w:r>
    </w:p>
    <w:p>
      <w:pPr>
        <w:pStyle w:val="Normal"/>
        <w:spacing w:lineRule="auto" w:line="240" w:before="0" w:after="0"/>
        <w:rPr>
          <w:rFonts w:ascii="Arial Narrow" w:hAnsi="Arial Narrow"/>
          <w:sz w:val="20"/>
          <w:szCs w:val="20"/>
        </w:rPr>
      </w:pPr>
      <w:r>
        <w:rPr>
          <w:rFonts w:ascii="Arial Narrow" w:hAnsi="Arial Narrow"/>
          <w:sz w:val="20"/>
          <w:szCs w:val="20"/>
        </w:rPr>
        <w:t>P305+P351+P338: VED KONTAKT MED ØJNENE: Skyl forsigtigt med vand i flere minutter. Fjern kontaktlinser, hvis de bæres, og fjern dem, hvis det er muligt. Fortsæt med at skylle.</w:t>
      </w:r>
    </w:p>
    <w:p>
      <w:pPr>
        <w:pStyle w:val="Normal"/>
        <w:spacing w:lineRule="auto" w:line="240" w:before="0" w:after="0"/>
        <w:rPr>
          <w:rFonts w:ascii="Arial Narrow" w:hAnsi="Arial Narrow"/>
          <w:sz w:val="20"/>
          <w:szCs w:val="20"/>
        </w:rPr>
      </w:pPr>
      <w:r>
        <w:rPr>
          <w:rFonts w:ascii="Arial Narrow" w:hAnsi="Arial Narrow"/>
          <w:sz w:val="20"/>
          <w:szCs w:val="20"/>
        </w:rPr>
        <w:t>P310: Ring omgående til en GIFTINFORMATION eller en læge.</w:t>
      </w:r>
    </w:p>
    <w:p>
      <w:pPr>
        <w:pStyle w:val="Normal"/>
        <w:spacing w:lineRule="auto" w:line="240" w:before="0" w:after="0"/>
        <w:rPr>
          <w:rFonts w:ascii="Arial Narrow" w:hAnsi="Arial Narrow"/>
          <w:sz w:val="20"/>
          <w:szCs w:val="20"/>
        </w:rPr>
      </w:pPr>
      <w:r>
        <w:rPr>
          <w:rFonts w:ascii="Arial Narrow" w:hAnsi="Arial Narrow"/>
          <w:sz w:val="20"/>
          <w:szCs w:val="20"/>
        </w:rPr>
        <w:t>P302+P352: VED KONTAKT MED HUDEN: Vask med rigeligt vand og sæbe. I tilfælde af hudirritation eller udslæt</w:t>
      </w:r>
    </w:p>
    <w:p>
      <w:pPr>
        <w:pStyle w:val="Normal"/>
        <w:spacing w:lineRule="auto" w:line="240" w:before="0" w:after="0"/>
        <w:rPr>
          <w:rFonts w:ascii="Arial Narrow" w:hAnsi="Arial Narrow"/>
          <w:sz w:val="20"/>
          <w:szCs w:val="20"/>
        </w:rPr>
      </w:pPr>
      <w:r>
        <w:rPr>
          <w:rFonts w:ascii="Arial Narrow" w:hAnsi="Arial Narrow"/>
          <w:sz w:val="20"/>
          <w:szCs w:val="20"/>
        </w:rPr>
        <w:t>P333+P313: Søg lægehjælp.</w:t>
      </w:r>
    </w:p>
    <w:p>
      <w:pPr>
        <w:pStyle w:val="Normal"/>
        <w:spacing w:lineRule="auto" w:line="240" w:before="0" w:after="0"/>
        <w:rPr>
          <w:rFonts w:ascii="Arial Narrow" w:hAnsi="Arial Narrow"/>
          <w:sz w:val="20"/>
          <w:szCs w:val="20"/>
        </w:rPr>
      </w:pPr>
      <w:r>
        <w:rPr>
          <w:rFonts w:ascii="Arial Narrow" w:hAnsi="Arial Narrow"/>
          <w:sz w:val="20"/>
          <w:szCs w:val="20"/>
        </w:rPr>
        <w:t>P304+P340: VED INDÅNDING: Flyt personen til frisk luft og hold i en stilling, der letter vejrtrækningen.</w:t>
      </w:r>
    </w:p>
    <w:p>
      <w:pPr>
        <w:pStyle w:val="Normal"/>
        <w:spacing w:lineRule="auto" w:line="240" w:before="0" w:after="0"/>
        <w:rPr>
          <w:rFonts w:ascii="Arial Narrow" w:hAnsi="Arial Narrow"/>
          <w:sz w:val="20"/>
          <w:szCs w:val="20"/>
        </w:rPr>
      </w:pPr>
      <w:r>
        <w:rPr>
          <w:rFonts w:ascii="Arial Narrow" w:hAnsi="Arial Narrow"/>
          <w:sz w:val="20"/>
          <w:szCs w:val="20"/>
        </w:rPr>
        <w:t>P312 Ring til et GIFTINFORMATIONSCENTRAL eller en læge, hvis du føler dig utilpas.</w:t>
      </w:r>
    </w:p>
    <w:p>
      <w:pPr>
        <w:pStyle w:val="Normal"/>
        <w:spacing w:lineRule="auto" w:line="240" w:before="0" w:after="0"/>
        <w:rPr>
          <w:rFonts w:ascii="Arial Narrow" w:hAnsi="Arial Narrow"/>
          <w:sz w:val="20"/>
          <w:szCs w:val="20"/>
        </w:rPr>
      </w:pPr>
      <w:r>
        <w:rPr>
          <w:rFonts w:ascii="Arial Narrow" w:hAnsi="Arial Narrow"/>
          <w:sz w:val="20"/>
          <w:szCs w:val="20"/>
        </w:rPr>
        <w:t>P501 Bortskaf indholdet/emballagen på et indsamlingssted, der er udpeget i henhold til lokale regler.</w:t>
      </w:r>
    </w:p>
    <w:p>
      <w:pPr>
        <w:pStyle w:val="Normal"/>
        <w:spacing w:lineRule="auto" w:line="240" w:before="0" w:after="0"/>
        <w:rPr>
          <w:rFonts w:ascii="Arial Narrow" w:hAnsi="Arial Narrow"/>
          <w:sz w:val="20"/>
          <w:szCs w:val="20"/>
        </w:rPr>
      </w:pPr>
      <w:r>
        <w:rPr>
          <w:rFonts w:ascii="Arial Narrow" w:hAnsi="Arial Narrow"/>
          <w:sz w:val="20"/>
          <w:szCs w:val="20"/>
        </w:rPr>
        <w:t>Farlige ingredienser: Portlandcement, calciumhydroxid.</w:t>
      </w:r>
    </w:p>
    <w:p>
      <w:pPr>
        <w:pStyle w:val="Normal"/>
        <w:spacing w:lineRule="auto" w:line="240" w:before="0" w:after="0"/>
        <w:rPr>
          <w:rFonts w:ascii="Arial Narrow" w:hAnsi="Arial Narrow"/>
          <w:sz w:val="20"/>
          <w:szCs w:val="20"/>
        </w:rPr>
      </w:pPr>
      <w:r>
        <w:rPr>
          <w:rFonts w:ascii="Arial Narrow" w:hAnsi="Arial Narrow"/>
          <w:sz w:val="20"/>
          <w:szCs w:val="20"/>
        </w:rPr>
        <w:t>Yderligere information: Den våde blanding kan beskadige produkter fremstillet af aluminium og andre uædle metaller.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Yderligere fareinformation: ikke relevant</w:t>
      </w:r>
    </w:p>
    <w:p>
      <w:pPr>
        <w:pStyle w:val="Normal"/>
        <w:spacing w:lineRule="auto" w:line="240" w:before="0" w:after="0"/>
        <w:rPr>
          <w:rFonts w:ascii="Arial Narrow" w:hAnsi="Arial Narrow"/>
          <w:b/>
          <w:b/>
          <w:sz w:val="20"/>
          <w:szCs w:val="20"/>
        </w:rPr>
      </w:pPr>
      <w:r>
        <w:rPr>
          <w:rFonts w:ascii="Arial Narrow" w:hAnsi="Arial Narrow"/>
          <w:b/>
          <w:sz w:val="20"/>
          <w:szCs w:val="20"/>
        </w:rPr>
        <w:t>Håndgribelig advarsel for blinde: nej</w:t>
      </w:r>
    </w:p>
    <w:p>
      <w:pPr>
        <w:pStyle w:val="Normal"/>
        <w:spacing w:lineRule="auto" w:line="240" w:before="0" w:after="0"/>
        <w:rPr>
          <w:rFonts w:ascii="Arial Narrow" w:hAnsi="Arial Narrow"/>
          <w:b/>
          <w:b/>
          <w:sz w:val="20"/>
          <w:szCs w:val="20"/>
        </w:rPr>
      </w:pPr>
      <w:r>
        <w:rPr>
          <w:rFonts w:ascii="Arial Narrow" w:hAnsi="Arial Narrow"/>
          <w:b/>
          <w:sz w:val="20"/>
          <w:szCs w:val="20"/>
        </w:rPr>
        <w:t>Børnesikker lukning: nej</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Endnu en fare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Gentagen kontakt, især af et vådt præparat med ubeskyttet hud, kan forårsage hudirritation (irriterende kontaktdermatitis), og nogle mennesker kan udvikle allergisk kontakteksem.</w:t>
      </w:r>
    </w:p>
    <w:p>
      <w:pPr>
        <w:pStyle w:val="Normal"/>
        <w:spacing w:lineRule="auto" w:line="240" w:before="0" w:after="0"/>
        <w:rPr>
          <w:rFonts w:ascii="Arial Narrow" w:hAnsi="Arial Narrow"/>
          <w:sz w:val="20"/>
          <w:szCs w:val="20"/>
        </w:rPr>
      </w:pPr>
      <w:r>
        <w:rPr>
          <w:rFonts w:ascii="Arial Narrow" w:hAnsi="Arial Narrow"/>
          <w:sz w:val="20"/>
          <w:szCs w:val="20"/>
        </w:rPr>
        <w:t>Efter blanding med vand dannes en stærkt basisk blanding, som er i stand til at korrodere aluminium eller beskadige vandlevende organismer eller planter ved høj pH. Blandingen opfylder ikke kriterierne for PBT eller vPvB i henhold til bilag XIII i EU-forordningen 1907/. 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AFSNIT 3. SAMMENSÆTNING / OPLYSNINGER OM INGREDIENSER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Stoffer: produktet er en blanding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Blandinger: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Tør puds og mørtelblanding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Produktet indeholder følgende farlige stoffer: Portlandcementgrå; calciumhydroxid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Pr>
      <w:tblGrid>
        <w:gridCol w:w="2006"/>
        <w:gridCol w:w="2015"/>
        <w:gridCol w:w="1984"/>
        <w:gridCol w:w="2046"/>
        <w:gridCol w:w="2029"/>
      </w:tblGrid>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Kemisk navn:</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CAS nummer:</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EF-nummer (EINECS)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Indeksnummer:</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Registreringsnummer:</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Indhold i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Klassificering i henhold til direktiv 1999/45/EF</w:t>
            </w:r>
          </w:p>
          <w:p>
            <w:pPr>
              <w:pStyle w:val="Normal"/>
              <w:widowControl w:val="false"/>
              <w:spacing w:lineRule="auto" w:line="240" w:before="0" w:after="0"/>
              <w:rPr>
                <w:rFonts w:ascii="Arial Narrow" w:hAnsi="Arial Narrow"/>
                <w:sz w:val="16"/>
                <w:szCs w:val="16"/>
              </w:rPr>
            </w:pPr>
            <w:r>
              <w:rPr>
                <w:rFonts w:ascii="Arial Narrow" w:hAnsi="Arial Narrow"/>
                <w:sz w:val="16"/>
                <w:szCs w:val="16"/>
              </w:rPr>
              <w:t>Faresymbol, R-sætninger</w:t>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Klassificering i henhold til forordning (EF) 1272/2008: </w:t>
            </w:r>
            <w:r>
              <w:rPr>
                <w:rFonts w:ascii="Arial Narrow" w:hAnsi="Arial Narrow"/>
                <w:sz w:val="16"/>
                <w:szCs w:val="16"/>
              </w:rPr>
              <w:t>Klassekode og farekategori H-sætning</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Portland cement</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irriterende,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sensibiliserende,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Hudirritation.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Calciumhydroxid</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irriterende,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sensibiliserende,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Hudirritation.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Se afsnit 16 for fuld tekst af R-sætninger og H-sætninger.</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AFSNIT 4. FØRSTEHJÆLPSINSTRUKTIONER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Beskrivelse af førstehjælp</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jc w:val="both"/>
        <w:rPr/>
      </w:pPr>
      <w:r>
        <w:rPr>
          <w:rFonts w:ascii="Arial Narrow" w:hAnsi="Arial Narrow"/>
          <w:b/>
          <w:sz w:val="20"/>
          <w:szCs w:val="20"/>
        </w:rPr>
        <w:t xml:space="preserve">Generelle instruktioner: </w:t>
      </w:r>
      <w:r>
        <w:rPr>
          <w:rFonts w:ascii="Arial Narrow" w:hAnsi="Arial Narrow"/>
          <w:sz w:val="20"/>
          <w:szCs w:val="20"/>
        </w:rPr>
        <w:t>Øjeblikkelig lægehjælp er normalt ikke nødvendig. Hvis der opstår helbredsproblemer efter håndtering af præparatet, i tvivlstilfælde eller i tilfælde af vedvarende problemer, søg lægehjælp og vis dette kort eller etiketten. Det er altid nødvendigt at sikre, at den ramte person er rolig og for at undgå at blive forkølet.</w:t>
      </w:r>
    </w:p>
    <w:p>
      <w:pPr>
        <w:pStyle w:val="Normal"/>
        <w:spacing w:lineRule="auto" w:line="240" w:before="0" w:after="0"/>
        <w:jc w:val="both"/>
        <w:rPr>
          <w:rFonts w:ascii="Arial Narrow" w:hAnsi="Arial Narrow"/>
          <w:sz w:val="20"/>
          <w:szCs w:val="20"/>
        </w:rPr>
      </w:pPr>
      <w:r>
        <w:rPr>
          <w:rFonts w:ascii="Arial Narrow" w:hAnsi="Arial Narrow"/>
          <w:sz w:val="20"/>
          <w:szCs w:val="20"/>
        </w:rPr>
        <w:t>Hvis du er bevidstløs, skal du placere den berørte person i en stabiliseret stilling på siden, med hovedet let på skrå, absolut ikke give noget (væsker) gennem munden. Førstehjælpere har ikke brug for personligt beskyttelsesudstyr, men bør undgå kontakt med den våde blanding. Informer lægen om førstehjælp.</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Ved indånding:</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Afbryd eksponeringen, flyt offeret til frisk luft. Støvet fra halsen og næsehulerne bør forlade spontant. Hvis irritation eller kvalme, hoste eller andre vedvarende symptomer fortsætter eller udvikler sig senere, søg lægehjælp.</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I kontakt med huden:</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Fjern forurenet tøj, sko. Hvis blandingen er tør, fjern den fra huden og skyl med rigeligt vand. I tilfælde af en våd blanding, vask huden med rigeligt vand. Hvis der opstår hudirritation eller forbrænding, søg lægehjælp.</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 tilfælde af øjenkontakt: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Gnid ikke dine øjne for ikke at beskadige hornhinden gennem mekanisk skade. Fjern kontaktlinser, hvis de bæres. Vip hovedet til siden af det berørte øje, åbn øjenlågene vidt, og skyl straks øjet/øjnene grundigt med rigeligt vand i mindst 30 minutter for at fjerne alle partikler. Undgå at komme ind i det berørte øje. Brug om muligt isotonisk vand (0,9 % NaCl). Se en erhvervssygdomsspecialist eller special øjenlæge.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Når man drikker:</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Fremkald ikke opkastning, skyl munden med vand, giv rigeligt vand at drikke. Søg lægehjælp eller kontakt Toksikologisk Informationscenter.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De vigtigste akutte og forsinkede symptomer og virkninger</w:t>
      </w:r>
    </w:p>
    <w:p>
      <w:pPr>
        <w:pStyle w:val="Normal"/>
        <w:spacing w:lineRule="auto" w:line="240" w:before="0" w:after="0"/>
        <w:rPr>
          <w:rFonts w:ascii="Arial Narrow" w:hAnsi="Arial Narrow"/>
          <w:i/>
          <w:i/>
          <w:sz w:val="20"/>
          <w:szCs w:val="20"/>
        </w:rPr>
      </w:pPr>
      <w:r>
        <w:rPr>
          <w:rFonts w:ascii="Arial Narrow" w:hAnsi="Arial Narrow"/>
          <w:i/>
          <w:sz w:val="20"/>
          <w:szCs w:val="20"/>
        </w:rPr>
        <w:t>(effekter, der kan antages på grund af blandingens sammensætning)</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Hudkontakt: Cementblandingen kan virke irriterende på huden efter længere tids kontakt (på fugtig hud, f.eks. ved sved eller fugtning af huden) eller kan forårsage hudeksem efter gentagen kontakt. Langvarig kontakt af huden med den våde blanding kan forårsage alvorlige forbrændinger (ætsning), som i begyndelsen udvikler sig smertefrit.</w:t>
      </w:r>
    </w:p>
    <w:p>
      <w:pPr>
        <w:pStyle w:val="Normal"/>
        <w:spacing w:lineRule="auto" w:line="240" w:before="0" w:after="0"/>
        <w:rPr>
          <w:rFonts w:ascii="Arial Narrow" w:hAnsi="Arial Narrow"/>
          <w:i/>
          <w:i/>
          <w:sz w:val="20"/>
          <w:szCs w:val="20"/>
        </w:rPr>
      </w:pPr>
      <w:r>
        <w:rPr>
          <w:rFonts w:ascii="Arial Narrow" w:hAnsi="Arial Narrow"/>
          <w:i/>
          <w:sz w:val="20"/>
          <w:szCs w:val="20"/>
        </w:rPr>
        <w:t>Øjenkontakt: Øjenkontakt med cementblanding kan forårsage alvorlig og potentielt irreversibel øjenskade.</w:t>
      </w:r>
    </w:p>
    <w:p>
      <w:pPr>
        <w:pStyle w:val="Normal"/>
        <w:spacing w:lineRule="auto" w:line="240" w:before="0" w:after="0"/>
        <w:rPr>
          <w:rFonts w:ascii="Arial Narrow" w:hAnsi="Arial Narrow"/>
          <w:i/>
          <w:i/>
          <w:sz w:val="20"/>
          <w:szCs w:val="20"/>
        </w:rPr>
      </w:pPr>
      <w:r>
        <w:rPr>
          <w:rFonts w:ascii="Arial Narrow" w:hAnsi="Arial Narrow"/>
          <w:i/>
          <w:sz w:val="20"/>
          <w:szCs w:val="20"/>
        </w:rPr>
        <w:t>Indånding: Langvarig eller gentagen indånding øger risikoen for at udvikle lungesygdomme.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Angivelse af enhver øjeblikkelig lægehjælp og særlig behandling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Tag sikkerhedsarket med dig, når du besøger lægen.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AFSNIT 5. Brandforholdsregler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Brandslukker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Egnede slukningsmidler:</w:t>
      </w:r>
      <w:r>
        <w:rPr/>
        <w:t xml:space="preserve"> </w:t>
      </w:r>
      <w:r>
        <w:rPr>
          <w:rFonts w:ascii="Arial Narrow" w:hAnsi="Arial Narrow"/>
          <w:sz w:val="20"/>
          <w:szCs w:val="20"/>
        </w:rPr>
        <w:t>Produktet er ikke brændbart. Til slukning af omgivende brande skal du vælge et slukningsmiddel med hensyn til miljøet.</w:t>
      </w:r>
    </w:p>
    <w:p>
      <w:pPr>
        <w:pStyle w:val="Normal"/>
        <w:spacing w:lineRule="auto" w:line="240" w:before="0" w:after="0"/>
        <w:rPr/>
      </w:pPr>
      <w:r>
        <w:rPr>
          <w:rFonts w:ascii="Arial Narrow" w:hAnsi="Arial Narrow"/>
          <w:b/>
          <w:sz w:val="20"/>
          <w:szCs w:val="20"/>
        </w:rPr>
        <w:t xml:space="preserve">Uegnede slukningsmidler: </w:t>
      </w:r>
      <w:r>
        <w:rPr/>
        <w:t xml:space="preserve">Vandstråle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Særlig sikkerhed i forbindelse med stoffet eller blandingen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De kendes ikke. Blandingen er ikke brandfarlig eller eksplosiv, den understøtter ikke afbrænding af andre materialer.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Råd til brandmænd</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Brug selvstændigt åndedrætsværn og normalt brandslukningsudstyr (undgå kontakt med hud og øjne). Undgå lækage af slukningsvand eller -blanding til kloakker og vandveje.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AFSNIT 6. FORHOLDSREGLER OVER FOR UDSLIP VED UHELD</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Personlige beskyttelsesforanstaltninger, værnemidler og nødprocedurer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Undgå, at personer, der ikke er involveret i at fjerne konsekvenserne af spildet, bevæger sig på steder, hvor de kan være forurenet af det spildte produkt. Sørg for trækfri ventilation inde i bygninger. Ved rengøring skal du vælge procedurer, der ikke øger dannelsen af støvaerosol (se afsnit 6.3). Når der anvendes våde procedurer, kan et urenset gulv eller underlag blive glat. Brug de anbefalede personlige værnemidler under arbejdet (se afsnit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Foranstaltninger til beskyttelse af miljøet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Undgå lækage og spredning af spildt materiale. Hold om muligt materialet tørt. Hvis det er muligt, skal du dække området for at undgå unødvendige støvfarer. Forebyg ukontrolleret lækage til vandveje og kloakker (stigning i pH). Ethvert større udslip i vandløb skal indberettes til Miljøstyrelsen eller anden ansvarlig myndighed.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Metoder og materiale til inddæmning og oprensning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Opsaml det spildte tørre materiale mekanisk, og hvis det ikke er kontamineret, genbrug det. Brug rensemetoder såsom støvsugning eller støvsugning (ved hjælp af luftfiltre). Brug ikke trykluft.</w:t>
      </w:r>
    </w:p>
    <w:p>
      <w:pPr>
        <w:pStyle w:val="Normal"/>
        <w:spacing w:lineRule="auto" w:line="240" w:before="0" w:after="0"/>
        <w:rPr>
          <w:rFonts w:ascii="Arial Narrow" w:hAnsi="Arial Narrow"/>
          <w:sz w:val="20"/>
          <w:szCs w:val="20"/>
        </w:rPr>
      </w:pPr>
      <w:r>
        <w:rPr>
          <w:rFonts w:ascii="Arial Narrow" w:hAnsi="Arial Narrow"/>
          <w:sz w:val="20"/>
          <w:szCs w:val="20"/>
        </w:rPr>
        <w:t>Det er også muligt at bruge våd rengøring (vandspray eller tåge), forhindre støv i at stige, tørre støvet af og fjerne det resulterende slam. Fjern den våde blanding på samme måde. Lad slammet størkne og fjern i henhold til afsnit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Henvisning til andre dele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Se afsnit 8 for personlige værnemidler.</w:t>
      </w:r>
    </w:p>
    <w:p>
      <w:pPr>
        <w:pStyle w:val="Normal"/>
        <w:spacing w:lineRule="auto" w:line="240" w:before="0" w:after="0"/>
        <w:rPr>
          <w:rFonts w:ascii="Arial Narrow" w:hAnsi="Arial Narrow"/>
          <w:sz w:val="20"/>
          <w:szCs w:val="20"/>
        </w:rPr>
      </w:pPr>
      <w:r>
        <w:rPr>
          <w:rFonts w:ascii="Arial Narrow" w:hAnsi="Arial Narrow"/>
          <w:sz w:val="20"/>
          <w:szCs w:val="20"/>
        </w:rPr>
        <w:t>Se afsnit 13 for bortskaffelse af affald.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AFSNIT 7. HÅNDTERING OG OPBEVARING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Forholdsregler for sikker håndtering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Læs brugsanvisningen. Ved håndtering af den tørre blanding, indånd ikke støv, arbejd i godt ventilerede områder, brug beskyttende arbejdsudstyr mod indånding af støv (se afsnit 8). Undgå kontakt med øjne og hud, når du arbejder med tør eller våd blanding ved at bruge personlige værnemidler (se afsnit 8).</w:t>
      </w:r>
    </w:p>
    <w:p>
      <w:pPr>
        <w:pStyle w:val="Normal"/>
        <w:spacing w:lineRule="auto" w:line="240" w:before="0" w:after="0"/>
        <w:jc w:val="both"/>
        <w:rPr>
          <w:rFonts w:ascii="Arial Narrow" w:hAnsi="Arial Narrow"/>
          <w:sz w:val="20"/>
          <w:szCs w:val="20"/>
        </w:rPr>
      </w:pPr>
      <w:r>
        <w:rPr>
          <w:rFonts w:ascii="Arial Narrow" w:hAnsi="Arial Narrow"/>
          <w:sz w:val="20"/>
          <w:szCs w:val="20"/>
        </w:rPr>
        <w:t>Hold arbejdsredskaber rene på steder, hvor de kommer i kontakt med dine hænder. Arbejdsbeklædning og værnemidler tilsmudset i en sådan grad, at blandingen trænger ind i hudens overflade, eller fugt siver ind i beskyttelsesudstyret eller arbejdsbeklædningens inderside, udskiftes hurtigst muligt med rent og tørt.</w:t>
      </w:r>
    </w:p>
    <w:p>
      <w:pPr>
        <w:pStyle w:val="Normal"/>
        <w:spacing w:lineRule="auto" w:line="240" w:before="0" w:after="0"/>
        <w:jc w:val="both"/>
        <w:rPr>
          <w:rFonts w:ascii="Arial Narrow" w:hAnsi="Arial Narrow"/>
          <w:sz w:val="20"/>
          <w:szCs w:val="20"/>
        </w:rPr>
      </w:pPr>
      <w:r>
        <w:rPr>
          <w:rFonts w:ascii="Arial Narrow" w:hAnsi="Arial Narrow"/>
          <w:sz w:val="20"/>
          <w:szCs w:val="20"/>
        </w:rPr>
        <w:t>Spis, drik eller ryg ikke under arbejdet, overhold generelle sikkerheds- og hygiejneforanstaltninger ved arbejde med kemikalier.</w:t>
      </w:r>
    </w:p>
    <w:p>
      <w:pPr>
        <w:pStyle w:val="Normal"/>
        <w:spacing w:lineRule="auto" w:line="240" w:before="0" w:after="0"/>
        <w:jc w:val="both"/>
        <w:rPr>
          <w:rFonts w:ascii="Arial Narrow" w:hAnsi="Arial Narrow"/>
          <w:b/>
          <w:b/>
          <w:sz w:val="20"/>
          <w:szCs w:val="20"/>
        </w:rPr>
      </w:pPr>
      <w:r>
        <w:rPr>
          <w:rFonts w:ascii="Arial Narrow" w:hAnsi="Arial Narrow"/>
          <w:b/>
          <w:sz w:val="20"/>
          <w:szCs w:val="20"/>
        </w:rPr>
        <w:t>7.2 Instruktioner for sikker opbevaring af stoffer og blandinger, herunder eventuel uforenelighed</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Opbevares i original lukket emballage, på et tørt sted, beskyttet mod fugt, adskilt fra fødevarer, drikkevarer og foder. Eventuel frysning af produktet vil ikke påvirke dets funktionalitet. Opbevares utilgængeligt for børn.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Specifik slutanvendelse / Specifik slutanvendelse</w:t>
      </w:r>
    </w:p>
    <w:p>
      <w:pPr>
        <w:pStyle w:val="Normal"/>
        <w:spacing w:lineRule="auto" w:line="240" w:before="0" w:after="0"/>
        <w:rPr>
          <w:rFonts w:ascii="Arial Narrow" w:hAnsi="Arial Narrow"/>
          <w:sz w:val="20"/>
          <w:szCs w:val="20"/>
        </w:rPr>
      </w:pPr>
      <w:r>
        <w:rPr>
          <w:rFonts w:ascii="Arial Narrow" w:hAnsi="Arial Narrow"/>
          <w:sz w:val="20"/>
          <w:szCs w:val="20"/>
        </w:rPr>
        <w:t>det er ikke nævnt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AFSNIT 8. EKSPONERINGSKONTROL / PERSONLIG BESKYTTELSE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kontrolparametre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pPr>
      <w:r>
        <w:rPr>
          <w:rFonts w:ascii="Arial Narrow" w:hAnsi="Arial Narrow"/>
          <w:sz w:val="20"/>
          <w:szCs w:val="20"/>
        </w:rPr>
        <w:t xml:space="preserve">Blandingen indeholder stoffer, for hvilke følgende højest tilladte koncentrationer i arbejdsatmosfæren er fastsat i Slovakiet i henhold til regeringsforordning nr. 361/2007 Saml., som ændret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Kemisk navn</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CAS nummer</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Bemærk</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Portland cement</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Calciumhydroxid</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Grænse eksponeringsværdier på arbejdspladsen i henhold til direktiv nr. 2006/15 / EF - ikke opført</w:t>
      </w:r>
    </w:p>
    <w:p>
      <w:pPr>
        <w:pStyle w:val="Normal"/>
        <w:spacing w:lineRule="auto" w:line="240" w:before="0" w:after="0"/>
        <w:rPr>
          <w:rFonts w:ascii="Arial Narrow" w:hAnsi="Arial Narrow"/>
          <w:b/>
          <w:b/>
          <w:sz w:val="20"/>
          <w:szCs w:val="20"/>
        </w:rPr>
      </w:pPr>
      <w:r>
        <w:rPr>
          <w:rFonts w:ascii="Arial Narrow" w:hAnsi="Arial Narrow"/>
          <w:b/>
          <w:sz w:val="20"/>
          <w:szCs w:val="20"/>
        </w:rPr>
        <w:t>Grænseværdierne for indikatorer for biologiske eksponeringstests er ikke specificeret i dekret nr. 432/2003 Saml.</w:t>
      </w:r>
    </w:p>
    <w:p>
      <w:pPr>
        <w:pStyle w:val="Normal"/>
        <w:spacing w:lineRule="auto" w:line="240" w:before="0" w:after="0"/>
        <w:rPr/>
      </w:pPr>
      <w:r>
        <w:rPr>
          <w:rFonts w:ascii="Arial Narrow" w:hAnsi="Arial Narrow"/>
          <w:b/>
          <w:sz w:val="20"/>
          <w:szCs w:val="20"/>
        </w:rPr>
        <w:t xml:space="preserve">DNEL- og PNEC-værdier: </w:t>
      </w:r>
      <w:r>
        <w:rPr>
          <w:rFonts w:ascii="Arial Narrow" w:hAnsi="Arial Narrow"/>
          <w:sz w:val="20"/>
          <w:szCs w:val="20"/>
        </w:rPr>
        <w:t>endnu ikke tilgængelige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Begrænsning af eksponering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For at begrænse eksponeringen er det nødvendigt at forhindre dannelse af støv. Endvidere anbefales passende beskyttelsesudstyr. Øjenbeskyttelsesanordninger (f.eks. sikkerhedsbriller eller ansigtsskærme) skal anvendes, hvis arten og typen af brug ikke kan udelukke potentiel kontakt med øjnene (f.eks. lukket proces), yderligere ansigtsbeskyttelse, beskyttelsestøj og sikkerhedssko.</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Passende tekniske foranstaltninger</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Sørg for tilstrækkelig ventilation af arbejdspladsen. eller ventilation. Hvis dette ikke er muligt, skal du bruge personlige værnemidler til åndedrætsværn. Håndtering af tørre blandinger og rengøring af arbejdspladsen skal sikres med teknikker, der ikke øger koncentrationen af støv i arbejdsatmosfæren. Når der arbejdes med tørre blandinger uden for byggeobjekter, er det nødvendigt, at arbejderen i tilfælde af vind bevæger sig fra punktet for lækage af støvpartikler til luften mod vindstrømmens retning. I tilfælde af, at der er mulighed for øjenkontakt under håndtering af produktet, tilrådes det at sørge for en vandkilde inden for rækkevidde for en hurtig øjenskyl.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Individuelle beskyttelsesforanstaltninger, herunder personlige værnemidler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a) Åndedrætsværn</w:t>
      </w:r>
    </w:p>
    <w:p>
      <w:pPr>
        <w:pStyle w:val="Normal"/>
        <w:spacing w:lineRule="auto" w:line="240" w:before="0" w:after="0"/>
        <w:rPr>
          <w:rFonts w:ascii="Arial Narrow" w:hAnsi="Arial Narrow"/>
          <w:sz w:val="20"/>
          <w:szCs w:val="20"/>
        </w:rPr>
      </w:pPr>
      <w:r>
        <w:rPr>
          <w:rFonts w:ascii="Arial Narrow" w:hAnsi="Arial Narrow"/>
          <w:sz w:val="20"/>
          <w:szCs w:val="20"/>
        </w:rPr>
        <w:t>Ved åbning af emballagen med den tørre blanding, når den hældes ud af emballagen eller når den tørre blanding overføres til arbejdsbeholdere og i den indledende fase, når blandingsvand tilsættes den tørre blanding, er det nødvendigt at bruge en maske eller åndedrætsværn med et støvfilter med en beskyttelsesfaktor på mindst 10.</w:t>
      </w:r>
    </w:p>
    <w:p>
      <w:pPr>
        <w:pStyle w:val="Normal"/>
        <w:spacing w:lineRule="auto" w:line="240" w:before="0" w:after="0"/>
        <w:rPr>
          <w:rFonts w:ascii="Arial Narrow" w:hAnsi="Arial Narrow"/>
          <w:b/>
          <w:b/>
          <w:sz w:val="20"/>
          <w:szCs w:val="20"/>
        </w:rPr>
      </w:pPr>
      <w:r>
        <w:rPr>
          <w:rFonts w:ascii="Arial Narrow" w:hAnsi="Arial Narrow"/>
          <w:b/>
          <w:sz w:val="20"/>
          <w:szCs w:val="20"/>
        </w:rPr>
        <w:t>b) Øjen- og ansigtsbeskyttelse</w:t>
      </w:r>
    </w:p>
    <w:p>
      <w:pPr>
        <w:pStyle w:val="Normal"/>
        <w:spacing w:lineRule="auto" w:line="240" w:before="0" w:after="0"/>
        <w:jc w:val="both"/>
        <w:rPr>
          <w:rFonts w:ascii="Arial Narrow" w:hAnsi="Arial Narrow"/>
          <w:sz w:val="20"/>
          <w:szCs w:val="20"/>
        </w:rPr>
      </w:pPr>
      <w:r>
        <w:rPr>
          <w:rFonts w:ascii="Arial Narrow" w:hAnsi="Arial Narrow"/>
          <w:sz w:val="20"/>
          <w:szCs w:val="20"/>
        </w:rPr>
        <w:t>Hvis der ikke anvendes en helmaske, når der arbejdes med den tørre blanding, skal der bruges tætte beskyttelsesbriller for at forhindre støvpartikler i at trænge ind i øjnene. Brug af beskyttelsesbriller er også påkrævet ved håndtering af våd mørtel eller lim, hvor der er risiko for sprøjt af materialet. Især når du kaster eller påfører mørtel over hovedhøjde.</w:t>
      </w:r>
    </w:p>
    <w:p>
      <w:pPr>
        <w:pStyle w:val="Normal"/>
        <w:spacing w:lineRule="auto" w:line="240" w:before="0" w:after="0"/>
        <w:jc w:val="both"/>
        <w:rPr>
          <w:rFonts w:ascii="Arial Narrow" w:hAnsi="Arial Narrow"/>
          <w:b/>
          <w:b/>
          <w:sz w:val="20"/>
          <w:szCs w:val="20"/>
        </w:rPr>
      </w:pPr>
      <w:r>
        <w:rPr>
          <w:rFonts w:ascii="Arial Narrow" w:hAnsi="Arial Narrow"/>
          <w:b/>
          <w:sz w:val="20"/>
          <w:szCs w:val="20"/>
        </w:rPr>
        <w:t>c) Hudbeskyttelse</w:t>
      </w:r>
    </w:p>
    <w:p>
      <w:pPr>
        <w:pStyle w:val="Normal"/>
        <w:spacing w:lineRule="auto" w:line="240" w:before="0" w:after="0"/>
        <w:jc w:val="both"/>
        <w:rPr>
          <w:rFonts w:ascii="Arial Narrow" w:hAnsi="Arial Narrow"/>
          <w:sz w:val="20"/>
          <w:szCs w:val="20"/>
        </w:rPr>
      </w:pPr>
      <w:r>
        <w:rPr>
          <w:rFonts w:ascii="Arial Narrow" w:hAnsi="Arial Narrow"/>
          <w:sz w:val="20"/>
          <w:szCs w:val="20"/>
        </w:rPr>
        <w:t>Fordi både tørre og våde blandinger irriterer huden, bør eksponeringen minimeres så meget som det er teknisk muligt. Arbejdet kræver brug af beskyttelseshandsker, standard helhudsbeskyttende arbejdstøj med tætsiddende ærmer og bukser, der forhindrer indtrængning af støv, samt brug af ætsende og støvbestandige sko.</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8.2.3 Begrænsning af miljøforurening</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Sørg for, at emballagen er lukket under opbevaring, håndtering og transport. Sikre lagerområder mod eventuel lækage af produktet til det omgivende miljø (i kloakvand, vand og jord - se 6.2. Eventuel lækage af produktet. Skyl ikke ud i kloakker eller vandløb). pH-værdien af vand, der er forurenet af produktet, og som kan strømme ud i kloaksystemet i store mængder, bør ikke overstige 9.</w:t>
      </w:r>
    </w:p>
    <w:p>
      <w:pPr>
        <w:pStyle w:val="Normal"/>
        <w:spacing w:lineRule="auto" w:line="240" w:before="0" w:after="0"/>
        <w:rPr>
          <w:rFonts w:ascii="Arial Narrow" w:hAnsi="Arial Narrow"/>
          <w:sz w:val="20"/>
          <w:szCs w:val="20"/>
        </w:rPr>
      </w:pPr>
      <w:r>
        <w:rPr>
          <w:rFonts w:ascii="Arial Narrow" w:hAnsi="Arial Narrow"/>
          <w:sz w:val="20"/>
          <w:szCs w:val="20"/>
        </w:rPr>
        <w:t>Udstyr arbejdspladsen og lagrene med midlerne til at rydde op i et utilsigtet spild.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AFSNIT 9. FYSISKE OG KEMISKE EGENSKABER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Fysisk tilstand: </w:t>
        <w:tab/>
        <w:tab/>
        <w:tab/>
        <w:t>løst fast stof, pulver</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Farve: </w:t>
        <w:tab/>
        <w:tab/>
        <w:tab/>
        <w:tab/>
        <w:t>grå til råhvid</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Lugt: </w:t>
        <w:tab/>
        <w:tab/>
        <w:tab/>
        <w:tab/>
        <w:t>lugtfri</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pH-værdi: </w:t>
        <w:tab/>
        <w:tab/>
        <w:tab/>
        <w:t>ikke kendt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Smeltepunkt/frysepunkt </w:t>
        <w:tab/>
        <w:tab/>
        <w:t>ikke kendt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Kogepunkt: </w:t>
        <w:tab/>
        <w:tab/>
        <w:tab/>
        <w:tab/>
        <w:t>ikke kendt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Flammepunkt: </w:t>
        <w:tab/>
        <w:tab/>
        <w:tab/>
        <w:t>ikke kendt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Fordampningshastighed: </w:t>
        <w:tab/>
        <w:tab/>
        <w:tab/>
        <w:t>ikke kendt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Antændelighed: </w:t>
        <w:tab/>
        <w:tab/>
        <w:tab/>
        <w:tab/>
        <w:t>ikke kendt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Eksplosive egenskaber: </w:t>
        <w:tab/>
        <w:tab/>
        <w:tab/>
        <w:t>ikke eksplosiv, øvre grænse - ikke kendt, nedre grænse - ikke kendt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Oxiderende egenskaber: </w:t>
        <w:tab/>
        <w:tab/>
        <w:tab/>
        <w:t>ikke kendt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Dampspænding: </w:t>
        <w:tab/>
        <w:tab/>
        <w:tab/>
        <w:tab/>
        <w:t>ikke kendt</w:t>
      </w:r>
    </w:p>
    <w:p>
      <w:pPr>
        <w:pStyle w:val="Normal"/>
        <w:spacing w:lineRule="auto" w:line="240" w:before="0" w:after="0"/>
        <w:ind w:left="567" w:right="0" w:hanging="0"/>
        <w:rPr/>
      </w:pPr>
      <w:r>
        <w:rPr>
          <w:rFonts w:ascii="Arial Narrow" w:hAnsi="Arial Narrow"/>
          <w:sz w:val="20"/>
          <w:szCs w:val="20"/>
        </w:rPr>
        <w:t xml:space="preserve">Relativ massefylde (ved 18 </w:t>
      </w:r>
      <w:r>
        <w:rPr>
          <w:rFonts w:ascii="Arial Narrow" w:hAnsi="Arial Narrow"/>
          <w:sz w:val="20"/>
          <w:szCs w:val="20"/>
          <w:vertAlign w:val="superscript"/>
        </w:rPr>
        <w:t xml:space="preserve">o </w:t>
      </w:r>
      <w:r>
        <w:rPr>
          <w:rFonts w:ascii="Arial Narrow" w:hAnsi="Arial Narrow"/>
          <w:sz w:val="20"/>
          <w:szCs w:val="20"/>
        </w:rPr>
        <w:t xml:space="preserve">C): </w:t>
        <w:tab/>
        <w:tab/>
        <w:t>ikke kendt</w:t>
      </w:r>
    </w:p>
    <w:p>
      <w:pPr>
        <w:pStyle w:val="Normal"/>
        <w:spacing w:lineRule="auto" w:line="240" w:before="0" w:after="0"/>
        <w:ind w:left="567" w:right="0" w:hanging="0"/>
        <w:rPr/>
      </w:pPr>
      <w:r>
        <w:rPr>
          <w:rFonts w:ascii="Arial Narrow" w:hAnsi="Arial Narrow"/>
          <w:sz w:val="20"/>
          <w:szCs w:val="20"/>
        </w:rPr>
        <w:t xml:space="preserve">Opløselighed i vand (ved 18 </w:t>
      </w:r>
      <w:r>
        <w:rPr>
          <w:rFonts w:ascii="Arial Narrow" w:hAnsi="Arial Narrow"/>
          <w:sz w:val="20"/>
          <w:szCs w:val="20"/>
          <w:vertAlign w:val="superscript"/>
        </w:rPr>
        <w:t xml:space="preserve">o </w:t>
      </w:r>
      <w:r>
        <w:rPr>
          <w:rFonts w:ascii="Arial Narrow" w:hAnsi="Arial Narrow"/>
          <w:sz w:val="20"/>
          <w:szCs w:val="20"/>
        </w:rPr>
        <w:t xml:space="preserve">C): </w:t>
        <w:tab/>
        <w:t>Lidt opløselig i vand</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Fedtopløselighed: </w:t>
        <w:tab/>
        <w:tab/>
        <w:t>ikke kendt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Fordelingskoefficient n-oktanol/vand: </w:t>
        <w:tab/>
        <w:t>ikke kendt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Viskositet: </w:t>
        <w:tab/>
        <w:tab/>
        <w:tab/>
        <w:tab/>
        <w:t>ikke kendt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Dampdensitet: </w:t>
        <w:tab/>
        <w:tab/>
        <w:tab/>
        <w:t>ikke kendt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Fordampningshastighed: </w:t>
        <w:tab/>
        <w:tab/>
        <w:t>ikke kendt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AFSNIT 10. STABILITET OG REAKTIVITET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Reaktivitet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Ved blanding med vand dannes en stærkt basisk blanding, som gradvist hærder. Efter at hele blandingen er hærdet, dannes en stabil masse.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Kemisk stabilitet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Ved normal brug er produktet stabilt, når det opbevares og håndteres som foreskrevet. Beskyt blandingen mod virkningerne af vand og luftfugtighed. Nedbrydning forekommer ikke. Hold produktet tørt. Det er nødvendigt at udelukke kontakt med uforenelige materialer.</w:t>
      </w:r>
    </w:p>
    <w:p>
      <w:pPr>
        <w:pStyle w:val="Normal"/>
        <w:spacing w:lineRule="auto" w:line="240" w:before="0" w:after="0"/>
        <w:jc w:val="both"/>
        <w:rPr>
          <w:rFonts w:ascii="Arial Narrow" w:hAnsi="Arial Narrow"/>
          <w:sz w:val="20"/>
          <w:szCs w:val="20"/>
        </w:rPr>
      </w:pPr>
      <w:r>
        <w:rPr>
          <w:rFonts w:ascii="Arial Narrow" w:hAnsi="Arial Narrow"/>
          <w:sz w:val="20"/>
          <w:szCs w:val="20"/>
        </w:rPr>
        <w:t>Den våde blanding er alkalisk/alkalisk og reagerer med syrer, ammoniumsalte, aluminium eller andre uædle metaller. Portlandcement opløses i flussyre og danner kaustisk siliciumtetrafluoridgas. Portlandcementer reagerer med vand og danner silikater og calciumhydroxid. Silikater i cement reagerer med stærke oxidationsmidler som fluor, borfluorid, klorfluorid, manganfluorid og oxygendifluorid.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Mulighed for farlige reaktioner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Ukontrolleret brug af aluminiumspulver bør undgås, ved reaktion med cement og calciumhydroxid dannes/udvikles brint. Calciumhydroxid reagerer eksotermt med syrer. Efter opvarmning over 580 ° C nedbrydes calciumhydroxid til dannelse af calciumoxid (CaO) og vand (H2O): Ca (OH) 2 -&gt; CaO + H2O. Calciumoxid reagerer med vand for at generere varme. Dette kan være farligt for brændbare materialer.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10.4 Forhold, der skal undgås: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Ved opbevaring skal du minimere eksponeringen for luft og fugt, hvilket kan forårsage tab af produktkvalitet (kagning)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10.5 Inkompatible materialer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Syrer, ammoniumsalte, aluminium eller andre uædle metaller.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10.6 Farlige nedbrydningsprodukter: </w:t>
      </w:r>
      <w:r>
        <w:rPr>
          <w:rFonts w:ascii="Arial Narrow" w:hAnsi="Arial Narrow"/>
          <w:sz w:val="20"/>
          <w:szCs w:val="20"/>
        </w:rPr>
        <w:t>kasseres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AFSNIT 11. TOKSIKOLOGISKE OPLYSNINGER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Oplysninger om toksikologiske virkninger: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Menneskelig erfaring: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Ved at blande blandingen med vand eller med fugt dannes en stærkt basisk blanding med irriterende virkning. Produktet i form af støv og når det blandes med vand irriterer bindehinden og huden. Støv kan forårsage irritation af luftvejene.</w:t>
      </w:r>
    </w:p>
    <w:p>
      <w:pPr>
        <w:pStyle w:val="Normal"/>
        <w:spacing w:lineRule="auto" w:line="240" w:before="0" w:after="0"/>
        <w:rPr>
          <w:rFonts w:ascii="Arial Narrow" w:hAnsi="Arial Narrow"/>
          <w:sz w:val="20"/>
          <w:szCs w:val="20"/>
        </w:rPr>
      </w:pPr>
      <w:r>
        <w:rPr>
          <w:rFonts w:ascii="Arial Narrow" w:hAnsi="Arial Narrow"/>
          <w:sz w:val="20"/>
          <w:szCs w:val="20"/>
        </w:rPr>
        <w:t>Høje koncentrationer af støv irriterer åndedrætsorganerne (hoste, nysen, åndenød).</w:t>
      </w:r>
    </w:p>
    <w:p>
      <w:pPr>
        <w:pStyle w:val="Normal"/>
        <w:spacing w:lineRule="auto" w:line="240" w:before="0" w:after="0"/>
        <w:rPr>
          <w:rFonts w:ascii="Arial Narrow" w:hAnsi="Arial Narrow"/>
          <w:sz w:val="20"/>
          <w:szCs w:val="20"/>
        </w:rPr>
      </w:pPr>
      <w:r>
        <w:rPr>
          <w:rFonts w:ascii="Arial Narrow" w:hAnsi="Arial Narrow"/>
          <w:sz w:val="20"/>
          <w:szCs w:val="20"/>
        </w:rPr>
        <w:t>I kontakt med øjnene har blandingen irriterende virkninger, i tilfælde af massiv indgriben eller utilstrækkelig behandling (øjeblikkelig skylning af øjnene i flere minutter er nødvendig) kan øjenbetændelse opstå op til kemiske forbrændinger, hvilket kan føre til permanent øjenskade (blindhed) .</w:t>
      </w:r>
    </w:p>
    <w:p>
      <w:pPr>
        <w:pStyle w:val="Normal"/>
        <w:spacing w:lineRule="auto" w:line="240" w:before="0" w:after="0"/>
        <w:rPr>
          <w:rFonts w:ascii="Arial Narrow" w:hAnsi="Arial Narrow"/>
          <w:sz w:val="20"/>
          <w:szCs w:val="20"/>
        </w:rPr>
      </w:pPr>
      <w:r>
        <w:rPr>
          <w:rFonts w:ascii="Arial Narrow" w:hAnsi="Arial Narrow"/>
          <w:sz w:val="20"/>
          <w:szCs w:val="20"/>
        </w:rPr>
        <w:t>Gentagen kontakt af den for det meste våde blanding med ubeskyttet hud kan forårsage hudirritation (irriterende kontakteksem). Dermatitis manifesteres ved kløe af betændt hud. Huden ser rød, skællende og revnet ud.</w:t>
      </w:r>
    </w:p>
    <w:p>
      <w:pPr>
        <w:pStyle w:val="Normal"/>
        <w:spacing w:lineRule="auto" w:line="240" w:before="0" w:after="0"/>
        <w:rPr>
          <w:rFonts w:ascii="Arial Narrow" w:hAnsi="Arial Narrow"/>
          <w:sz w:val="20"/>
          <w:szCs w:val="20"/>
        </w:rPr>
      </w:pPr>
      <w:r>
        <w:rPr>
          <w:rFonts w:ascii="Arial Narrow" w:hAnsi="Arial Narrow"/>
          <w:sz w:val="20"/>
          <w:szCs w:val="20"/>
        </w:rPr>
        <w:t>Irriterende kontaktdermatitis er forårsaget af en kombination af lægemidlets fysiske egenskaber (vådhed, høj alkalinitet og slid).</w:t>
      </w:r>
    </w:p>
    <w:p>
      <w:pPr>
        <w:pStyle w:val="Normal"/>
        <w:spacing w:lineRule="auto" w:line="240" w:before="0" w:after="0"/>
        <w:rPr>
          <w:rFonts w:ascii="Arial Narrow" w:hAnsi="Arial Narrow"/>
          <w:sz w:val="20"/>
          <w:szCs w:val="20"/>
        </w:rPr>
      </w:pPr>
      <w:r>
        <w:rPr>
          <w:rFonts w:ascii="Arial Narrow" w:hAnsi="Arial Narrow"/>
          <w:sz w:val="20"/>
          <w:szCs w:val="20"/>
        </w:rPr>
        <w:t>Langvarig kontakt af våd cement/cementblanding med huden med samtidig friktion kan forårsage alvorlige forbrændinger.</w:t>
      </w:r>
    </w:p>
    <w:p>
      <w:pPr>
        <w:pStyle w:val="Normal"/>
        <w:spacing w:lineRule="auto" w:line="240" w:before="0" w:after="0"/>
        <w:rPr>
          <w:rFonts w:ascii="Arial Narrow" w:hAnsi="Arial Narrow"/>
          <w:sz w:val="20"/>
          <w:szCs w:val="20"/>
        </w:rPr>
      </w:pPr>
      <w:r>
        <w:rPr>
          <w:rFonts w:ascii="Arial Narrow" w:hAnsi="Arial Narrow"/>
          <w:sz w:val="20"/>
          <w:szCs w:val="20"/>
        </w:rPr>
        <w:t>Sundhedstilstande forværret af eksponering Indånding af cementstøv kan forværre eksisterende luftvejssygdomme eller sundhedstilstande såsom emfysem (hævelse af lungerne) eller astma eller eksisterende hud- eller øjensygdomme.</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Oplysninger om toksikologiske virkninger</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Akut toksicitet for komponenter:</w:t>
      </w:r>
    </w:p>
    <w:p>
      <w:pPr>
        <w:pStyle w:val="Normal"/>
        <w:spacing w:lineRule="auto" w:line="240" w:before="0" w:after="0"/>
        <w:rPr>
          <w:rFonts w:ascii="Arial Narrow" w:hAnsi="Arial Narrow"/>
          <w:sz w:val="20"/>
          <w:szCs w:val="20"/>
        </w:rPr>
      </w:pPr>
      <w:r>
        <w:rPr>
          <w:rFonts w:ascii="Arial Narrow" w:hAnsi="Arial Narrow"/>
          <w:sz w:val="20"/>
          <w:szCs w:val="20"/>
        </w:rPr>
        <w:t>Calciumhydroxid, CAS 1305-62-0</w:t>
      </w:r>
    </w:p>
    <w:p>
      <w:pPr>
        <w:pStyle w:val="Normal"/>
        <w:spacing w:lineRule="auto" w:line="240" w:before="0" w:after="0"/>
        <w:rPr>
          <w:rFonts w:ascii="Arial Narrow" w:hAnsi="Arial Narrow"/>
          <w:sz w:val="20"/>
          <w:szCs w:val="20"/>
        </w:rPr>
      </w:pPr>
      <w:r>
        <w:rPr>
          <w:rFonts w:ascii="Arial Narrow" w:hAnsi="Arial Narrow"/>
          <w:sz w:val="20"/>
          <w:szCs w:val="20"/>
        </w:rPr>
        <w:t>Oral: LD50 &gt; 2000 mg/kg (OECD 425, rotte)</w:t>
      </w:r>
    </w:p>
    <w:p>
      <w:pPr>
        <w:pStyle w:val="Normal"/>
        <w:spacing w:lineRule="auto" w:line="240" w:before="0" w:after="0"/>
        <w:rPr>
          <w:rFonts w:ascii="Arial Narrow" w:hAnsi="Arial Narrow"/>
          <w:sz w:val="20"/>
          <w:szCs w:val="20"/>
        </w:rPr>
      </w:pPr>
      <w:r>
        <w:rPr>
          <w:rFonts w:ascii="Arial Narrow" w:hAnsi="Arial Narrow"/>
          <w:sz w:val="20"/>
          <w:szCs w:val="20"/>
        </w:rPr>
        <w:t>Hud: LD50 &gt; 2500 mg/kg (OECD 402, kanin</w:t>
      </w:r>
    </w:p>
    <w:p>
      <w:pPr>
        <w:pStyle w:val="Normal"/>
        <w:spacing w:lineRule="auto" w:line="240" w:before="0" w:after="0"/>
        <w:rPr>
          <w:rFonts w:ascii="Arial Narrow" w:hAnsi="Arial Narrow"/>
          <w:sz w:val="20"/>
          <w:szCs w:val="20"/>
        </w:rPr>
      </w:pPr>
      <w:r>
        <w:rPr>
          <w:rFonts w:ascii="Arial Narrow" w:hAnsi="Arial Narrow"/>
          <w:sz w:val="20"/>
          <w:szCs w:val="20"/>
        </w:rPr>
        <w:t>Indånding: ingen data tilgængelige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Ved klassificering af blandingen blev der taget hensyn til pH-værdien af den våde blanding (11 - 13,5), de generelle koncentrationsgrænser for blandingens komponenter og oplysninger fra sikkerhedsdatabladene for de enkelte komponenter med reference til litteraturen.</w:t>
      </w:r>
    </w:p>
    <w:p>
      <w:pPr>
        <w:pStyle w:val="Normal"/>
        <w:spacing w:lineRule="auto" w:line="240" w:before="0" w:after="0"/>
        <w:rPr>
          <w:rFonts w:ascii="Arial Narrow" w:hAnsi="Arial Narrow"/>
          <w:sz w:val="20"/>
          <w:szCs w:val="20"/>
        </w:rPr>
      </w:pPr>
      <w:r>
        <w:rPr>
          <w:rFonts w:ascii="Arial Narrow" w:hAnsi="Arial Narrow"/>
          <w:sz w:val="20"/>
          <w:szCs w:val="20"/>
        </w:rPr>
        <w:t>a) akut toksicitet: baseret på de enkelte komponenters egenskaber opfylder blandingen ikke denne klassificering</w:t>
      </w:r>
    </w:p>
    <w:p>
      <w:pPr>
        <w:pStyle w:val="Normal"/>
        <w:spacing w:lineRule="auto" w:line="240" w:before="0" w:after="0"/>
        <w:rPr>
          <w:rFonts w:ascii="Arial Narrow" w:hAnsi="Arial Narrow"/>
          <w:sz w:val="20"/>
          <w:szCs w:val="20"/>
        </w:rPr>
      </w:pPr>
      <w:r>
        <w:rPr>
          <w:rFonts w:ascii="Arial Narrow" w:hAnsi="Arial Narrow"/>
          <w:sz w:val="20"/>
          <w:szCs w:val="20"/>
        </w:rPr>
        <w:t>b) irritation: baseret på egenskaberne af de enkelte komponenter blev blandingen klassificeret:</w:t>
      </w:r>
    </w:p>
    <w:p>
      <w:pPr>
        <w:pStyle w:val="Normal"/>
        <w:spacing w:lineRule="auto" w:line="240" w:before="0" w:after="0"/>
        <w:rPr>
          <w:rFonts w:ascii="Arial Narrow" w:hAnsi="Arial Narrow"/>
          <w:sz w:val="20"/>
          <w:szCs w:val="20"/>
        </w:rPr>
      </w:pPr>
      <w:r>
        <w:rPr>
          <w:rFonts w:ascii="Arial Narrow" w:hAnsi="Arial Narrow"/>
          <w:sz w:val="20"/>
          <w:szCs w:val="20"/>
        </w:rPr>
        <w:t>Alvorlig øjenskade, kategori 1 - Eye Dam. 1 (H318)</w:t>
      </w:r>
    </w:p>
    <w:p>
      <w:pPr>
        <w:pStyle w:val="Normal"/>
        <w:spacing w:lineRule="auto" w:line="240" w:before="0" w:after="0"/>
        <w:rPr>
          <w:rFonts w:ascii="Arial Narrow" w:hAnsi="Arial Narrow"/>
          <w:sz w:val="20"/>
          <w:szCs w:val="20"/>
        </w:rPr>
      </w:pPr>
      <w:r>
        <w:rPr>
          <w:rFonts w:ascii="Arial Narrow" w:hAnsi="Arial Narrow"/>
          <w:sz w:val="20"/>
          <w:szCs w:val="20"/>
        </w:rPr>
        <w:t>Hudirritation, kategori 2 - Skin Irrit. 2 (H315)</w:t>
      </w:r>
    </w:p>
    <w:p>
      <w:pPr>
        <w:pStyle w:val="Normal"/>
        <w:spacing w:lineRule="auto" w:line="240" w:before="0" w:after="0"/>
        <w:rPr>
          <w:rFonts w:ascii="Arial Narrow" w:hAnsi="Arial Narrow"/>
          <w:sz w:val="20"/>
          <w:szCs w:val="20"/>
        </w:rPr>
      </w:pPr>
      <w:r>
        <w:rPr>
          <w:rFonts w:ascii="Arial Narrow" w:hAnsi="Arial Narrow"/>
          <w:sz w:val="20"/>
          <w:szCs w:val="20"/>
        </w:rPr>
        <w:t>c) ætsende: ikke bestemt for blandingen; baseret på egenskaberne af de enkelte komponenter, opfylder blandingen ikke denne klassificering</w:t>
      </w:r>
    </w:p>
    <w:p>
      <w:pPr>
        <w:pStyle w:val="Normal"/>
        <w:spacing w:lineRule="auto" w:line="240" w:before="0" w:after="0"/>
        <w:rPr>
          <w:rFonts w:ascii="Arial Narrow" w:hAnsi="Arial Narrow"/>
          <w:sz w:val="20"/>
          <w:szCs w:val="20"/>
        </w:rPr>
      </w:pPr>
      <w:r>
        <w:rPr>
          <w:rFonts w:ascii="Arial Narrow" w:hAnsi="Arial Narrow"/>
          <w:sz w:val="20"/>
          <w:szCs w:val="20"/>
        </w:rPr>
        <w:t>d) sensibilisering: ikke bestemt for blandingen; baseret på egenskaberne af de enkelte komponenter, opfylder blandingen ikke denne klassificering</w:t>
      </w:r>
    </w:p>
    <w:p>
      <w:pPr>
        <w:pStyle w:val="Normal"/>
        <w:spacing w:lineRule="auto" w:line="240" w:before="0" w:after="0"/>
        <w:rPr>
          <w:rFonts w:ascii="Arial Narrow" w:hAnsi="Arial Narrow"/>
          <w:sz w:val="20"/>
          <w:szCs w:val="20"/>
        </w:rPr>
      </w:pPr>
      <w:r>
        <w:rPr>
          <w:rFonts w:ascii="Arial Narrow" w:hAnsi="Arial Narrow"/>
          <w:sz w:val="20"/>
          <w:szCs w:val="20"/>
        </w:rPr>
        <w:t>e) toksicitet ved gentagen dosis: ikke bestemt for blandingen; baseret på egenskaberne af de enkelte komponenter, opfylder blandingen ikke denne klassificering</w:t>
      </w:r>
    </w:p>
    <w:p>
      <w:pPr>
        <w:pStyle w:val="Normal"/>
        <w:spacing w:lineRule="auto" w:line="240" w:before="0" w:after="0"/>
        <w:rPr>
          <w:rFonts w:ascii="Arial Narrow" w:hAnsi="Arial Narrow"/>
          <w:sz w:val="20"/>
          <w:szCs w:val="20"/>
        </w:rPr>
      </w:pPr>
      <w:r>
        <w:rPr>
          <w:rFonts w:ascii="Arial Narrow" w:hAnsi="Arial Narrow"/>
          <w:sz w:val="20"/>
          <w:szCs w:val="20"/>
        </w:rPr>
        <w:t>f) carcinogenicitet: ikke bestemt for blandingen; baseret på egenskaberne af de enkelte komponenter, opfylder blandingen ikke denne klassificering</w:t>
      </w:r>
    </w:p>
    <w:p>
      <w:pPr>
        <w:pStyle w:val="Normal"/>
        <w:spacing w:lineRule="auto" w:line="240" w:before="0" w:after="0"/>
        <w:rPr>
          <w:rFonts w:ascii="Arial Narrow" w:hAnsi="Arial Narrow"/>
          <w:sz w:val="20"/>
          <w:szCs w:val="20"/>
        </w:rPr>
      </w:pPr>
      <w:r>
        <w:rPr>
          <w:rFonts w:ascii="Arial Narrow" w:hAnsi="Arial Narrow"/>
          <w:sz w:val="20"/>
          <w:szCs w:val="20"/>
        </w:rPr>
        <w:t>g) mutagenicitet: ikke bestemt for blandingen; baseret på egenskaberne af de enkelte komponenter, opfylder blandingen ikke denne klassificering</w:t>
      </w:r>
    </w:p>
    <w:p>
      <w:pPr>
        <w:pStyle w:val="Normal"/>
        <w:spacing w:lineRule="auto" w:line="240" w:before="0" w:after="0"/>
        <w:rPr>
          <w:rFonts w:ascii="Arial Narrow" w:hAnsi="Arial Narrow"/>
          <w:sz w:val="20"/>
          <w:szCs w:val="20"/>
        </w:rPr>
      </w:pPr>
      <w:r>
        <w:rPr>
          <w:rFonts w:ascii="Arial Narrow" w:hAnsi="Arial Narrow"/>
          <w:sz w:val="20"/>
          <w:szCs w:val="20"/>
        </w:rPr>
        <w:t>h) reproduktionstoksicitet: ikke bestemt for blandingen; baseret på egenskaberne af de enkelte komponenter, opfylder blandingen ikke denne klassificering</w:t>
      </w:r>
    </w:p>
    <w:p>
      <w:pPr>
        <w:pStyle w:val="Normal"/>
        <w:spacing w:lineRule="auto" w:line="240" w:before="0" w:after="0"/>
        <w:rPr>
          <w:rFonts w:ascii="Arial Narrow" w:hAnsi="Arial Narrow"/>
          <w:sz w:val="20"/>
          <w:szCs w:val="20"/>
        </w:rPr>
      </w:pPr>
      <w:r>
        <w:rPr>
          <w:rFonts w:ascii="Arial Narrow" w:hAnsi="Arial Narrow"/>
          <w:sz w:val="20"/>
          <w:szCs w:val="20"/>
        </w:rPr>
        <w:t>i) Toksicitet for et specifikt målorgan - enkelt eksponering: baseret på egenskaberne af de enkelte komponenter blev blandingen klassificeret:</w:t>
      </w:r>
    </w:p>
    <w:p>
      <w:pPr>
        <w:pStyle w:val="Normal"/>
        <w:spacing w:lineRule="auto" w:line="240" w:before="0" w:after="0"/>
        <w:rPr>
          <w:rFonts w:ascii="Arial Narrow" w:hAnsi="Arial Narrow"/>
          <w:sz w:val="20"/>
          <w:szCs w:val="20"/>
        </w:rPr>
      </w:pPr>
      <w:r>
        <w:rPr>
          <w:rFonts w:ascii="Arial Narrow" w:hAnsi="Arial Narrow"/>
          <w:sz w:val="20"/>
          <w:szCs w:val="20"/>
        </w:rPr>
        <w:t>Specifik målorgantoksicitet - enkelt eksponering, irritation af luftvejene - STOT SE 3 (H335)</w:t>
      </w:r>
    </w:p>
    <w:p>
      <w:pPr>
        <w:pStyle w:val="Normal"/>
        <w:spacing w:lineRule="auto" w:line="240" w:before="0" w:after="0"/>
        <w:rPr>
          <w:rFonts w:ascii="Arial Narrow" w:hAnsi="Arial Narrow"/>
          <w:sz w:val="20"/>
          <w:szCs w:val="20"/>
        </w:rPr>
      </w:pPr>
      <w:r>
        <w:rPr>
          <w:rFonts w:ascii="Arial Narrow" w:hAnsi="Arial Narrow"/>
          <w:sz w:val="20"/>
          <w:szCs w:val="20"/>
        </w:rPr>
        <w:t>j) Toksicitet for et specifikt målorgan - gentagen eksponering: ikke bestemt for blandingen; baseret på egenskaberne af de enkelte komponenter, opfylder blandingen ikke denne klassificering</w:t>
      </w:r>
    </w:p>
    <w:p>
      <w:pPr>
        <w:pStyle w:val="Normal"/>
        <w:spacing w:lineRule="auto" w:line="240" w:before="0" w:after="0"/>
        <w:rPr>
          <w:rFonts w:ascii="Arial Narrow" w:hAnsi="Arial Narrow"/>
          <w:sz w:val="20"/>
          <w:szCs w:val="20"/>
        </w:rPr>
      </w:pPr>
      <w:r>
        <w:rPr>
          <w:rFonts w:ascii="Arial Narrow" w:hAnsi="Arial Narrow"/>
          <w:sz w:val="20"/>
          <w:szCs w:val="20"/>
        </w:rPr>
        <w:t>k) Aspirationsfare: ikke bestemt for blandingen; baseret på egenskaberne af de enkelte komponenter, opfylder blandingen ikke denne klassificering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AFSNIT 12. ØKOLOGISKE OPLYSNINGER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Blanding af produktet med vand vil øge pH-værdien (11 - 13,5), blandingen er meget basisk og kan udgøre en kortvarig fare for vandlevende organismer. pH-værdien afhænger af koncentrationen af produktet i vandet. pH-værdien falder hurtigt på grund af fortynding. Efter at produktet hærder med vand eller luftfugtighed, udgør produktet ikke en fare for vandlevende organismer selv i kort tid. Forebyg jordforurening og udledning til overflade- eller grundvand, kloakker, vandveje og miljøet.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Toksicitet - akutte og kroniske virkninger:</w:t>
      </w:r>
    </w:p>
    <w:p>
      <w:pPr>
        <w:pStyle w:val="Normal"/>
        <w:spacing w:lineRule="auto" w:line="240" w:before="0" w:after="0"/>
        <w:rPr>
          <w:rFonts w:ascii="Arial Narrow" w:hAnsi="Arial Narrow"/>
          <w:sz w:val="20"/>
          <w:szCs w:val="20"/>
        </w:rPr>
      </w:pPr>
      <w:r>
        <w:rPr>
          <w:rFonts w:ascii="Arial Narrow" w:hAnsi="Arial Narrow"/>
          <w:sz w:val="20"/>
          <w:szCs w:val="20"/>
        </w:rPr>
        <w:t>ikke bestemt for blandingen, på grund af arten af de enkelte komponenter, forventes det ikke</w:t>
      </w:r>
    </w:p>
    <w:p>
      <w:pPr>
        <w:pStyle w:val="Normal"/>
        <w:spacing w:lineRule="auto" w:line="240" w:before="0" w:after="0"/>
        <w:rPr>
          <w:rFonts w:ascii="Arial Narrow" w:hAnsi="Arial Narrow"/>
          <w:sz w:val="20"/>
          <w:szCs w:val="20"/>
        </w:rPr>
      </w:pPr>
      <w:r>
        <w:rPr>
          <w:rFonts w:ascii="Arial Narrow" w:hAnsi="Arial Narrow"/>
          <w:sz w:val="20"/>
          <w:szCs w:val="20"/>
        </w:rPr>
        <w:t>Calciumhydroxid, CAS 1305-62-0</w:t>
      </w:r>
    </w:p>
    <w:p>
      <w:pPr>
        <w:pStyle w:val="Normal"/>
        <w:spacing w:lineRule="auto" w:line="240" w:before="0" w:after="0"/>
        <w:rPr>
          <w:rFonts w:ascii="Arial Narrow" w:hAnsi="Arial Narrow"/>
          <w:sz w:val="20"/>
          <w:szCs w:val="20"/>
        </w:rPr>
      </w:pPr>
      <w:r>
        <w:rPr>
          <w:rFonts w:ascii="Arial Narrow" w:hAnsi="Arial Narrow"/>
          <w:sz w:val="20"/>
          <w:szCs w:val="20"/>
        </w:rPr>
        <w:t>LC50 (96h) til ferskvandsfisk: 50,6 mg/l</w:t>
      </w:r>
    </w:p>
    <w:p>
      <w:pPr>
        <w:pStyle w:val="Normal"/>
        <w:spacing w:lineRule="auto" w:line="240" w:before="0" w:after="0"/>
        <w:rPr>
          <w:rFonts w:ascii="Arial Narrow" w:hAnsi="Arial Narrow"/>
          <w:sz w:val="20"/>
          <w:szCs w:val="20"/>
        </w:rPr>
      </w:pPr>
      <w:r>
        <w:rPr>
          <w:rFonts w:ascii="Arial Narrow" w:hAnsi="Arial Narrow"/>
          <w:sz w:val="20"/>
          <w:szCs w:val="20"/>
        </w:rPr>
        <w:t>LC50 (96h) for havfisk: 457 mg/l</w:t>
      </w:r>
    </w:p>
    <w:p>
      <w:pPr>
        <w:pStyle w:val="Normal"/>
        <w:spacing w:lineRule="auto" w:line="240" w:before="0" w:after="0"/>
        <w:rPr>
          <w:rFonts w:ascii="Arial Narrow" w:hAnsi="Arial Narrow"/>
          <w:sz w:val="20"/>
          <w:szCs w:val="20"/>
        </w:rPr>
      </w:pPr>
      <w:r>
        <w:rPr>
          <w:rFonts w:ascii="Arial Narrow" w:hAnsi="Arial Narrow"/>
          <w:sz w:val="20"/>
          <w:szCs w:val="20"/>
        </w:rPr>
        <w:t>EC50 (48h) for hvirvelløse ferskvandsdyr: 49,1 mg/l</w:t>
      </w:r>
    </w:p>
    <w:p>
      <w:pPr>
        <w:pStyle w:val="Normal"/>
        <w:spacing w:lineRule="auto" w:line="240" w:before="0" w:after="0"/>
        <w:rPr>
          <w:rFonts w:ascii="Arial Narrow" w:hAnsi="Arial Narrow"/>
          <w:sz w:val="20"/>
          <w:szCs w:val="20"/>
        </w:rPr>
      </w:pPr>
      <w:r>
        <w:rPr>
          <w:rFonts w:ascii="Arial Narrow" w:hAnsi="Arial Narrow"/>
          <w:sz w:val="20"/>
          <w:szCs w:val="20"/>
        </w:rPr>
        <w:t>LC50 (96h) til marine hvirvelløse dyr: 158 mg/l</w:t>
      </w:r>
    </w:p>
    <w:p>
      <w:pPr>
        <w:pStyle w:val="Normal"/>
        <w:spacing w:lineRule="auto" w:line="240" w:before="0" w:after="0"/>
        <w:rPr>
          <w:rFonts w:ascii="Arial Narrow" w:hAnsi="Arial Narrow"/>
          <w:sz w:val="20"/>
          <w:szCs w:val="20"/>
        </w:rPr>
      </w:pPr>
      <w:r>
        <w:rPr>
          <w:rFonts w:ascii="Arial Narrow" w:hAnsi="Arial Narrow"/>
          <w:sz w:val="20"/>
          <w:szCs w:val="20"/>
        </w:rPr>
        <w:t>EC50 (72h) for ferskvandsalger: 184,57 mg/l</w:t>
      </w:r>
    </w:p>
    <w:p>
      <w:pPr>
        <w:pStyle w:val="Normal"/>
        <w:spacing w:lineRule="auto" w:line="240" w:before="0" w:after="0"/>
        <w:rPr>
          <w:rFonts w:ascii="Arial Narrow" w:hAnsi="Arial Narrow"/>
          <w:sz w:val="20"/>
          <w:szCs w:val="20"/>
        </w:rPr>
      </w:pPr>
      <w:r>
        <w:rPr>
          <w:rFonts w:ascii="Arial Narrow" w:hAnsi="Arial Narrow"/>
          <w:sz w:val="20"/>
          <w:szCs w:val="20"/>
        </w:rPr>
        <w:t>NOEC (72h) for tang: 48 mg/l</w:t>
      </w:r>
    </w:p>
    <w:p>
      <w:pPr>
        <w:pStyle w:val="Normal"/>
        <w:spacing w:lineRule="auto" w:line="240" w:before="0" w:after="0"/>
        <w:rPr>
          <w:rFonts w:ascii="Arial Narrow" w:hAnsi="Arial Narrow"/>
          <w:sz w:val="20"/>
          <w:szCs w:val="20"/>
        </w:rPr>
      </w:pPr>
      <w:r>
        <w:rPr>
          <w:rFonts w:ascii="Arial Narrow" w:hAnsi="Arial Narrow"/>
          <w:sz w:val="20"/>
          <w:szCs w:val="20"/>
        </w:rPr>
        <w:t>NOEC (14d) for marine hvirvelløse dyr: 32 mg/l</w:t>
      </w:r>
    </w:p>
    <w:p>
      <w:pPr>
        <w:pStyle w:val="Normal"/>
        <w:spacing w:lineRule="auto" w:line="240" w:before="0" w:after="0"/>
        <w:rPr>
          <w:rFonts w:ascii="Arial Narrow" w:hAnsi="Arial Narrow"/>
          <w:sz w:val="20"/>
          <w:szCs w:val="20"/>
        </w:rPr>
      </w:pPr>
      <w:r>
        <w:rPr>
          <w:rFonts w:ascii="Arial Narrow" w:hAnsi="Arial Narrow"/>
          <w:sz w:val="20"/>
          <w:szCs w:val="20"/>
        </w:rPr>
        <w:t>EC10/LC10 eller NOEC for jordmikroorganismer: 2000 mg/kg tør jord</w:t>
      </w:r>
    </w:p>
    <w:p>
      <w:pPr>
        <w:pStyle w:val="Normal"/>
        <w:spacing w:lineRule="auto" w:line="240" w:before="0" w:after="0"/>
        <w:rPr>
          <w:rFonts w:ascii="Arial Narrow" w:hAnsi="Arial Narrow"/>
          <w:sz w:val="20"/>
          <w:szCs w:val="20"/>
        </w:rPr>
      </w:pPr>
      <w:r>
        <w:rPr>
          <w:rFonts w:ascii="Arial Narrow" w:hAnsi="Arial Narrow"/>
          <w:sz w:val="20"/>
          <w:szCs w:val="20"/>
        </w:rPr>
        <w:t>EC10/LC10 eller NOEC for jordmikroorganismer: 12000 mg/kg tør jord</w:t>
      </w:r>
    </w:p>
    <w:p>
      <w:pPr>
        <w:pStyle w:val="Normal"/>
        <w:spacing w:lineRule="auto" w:line="240" w:before="0" w:after="0"/>
        <w:rPr>
          <w:rFonts w:ascii="Arial Narrow" w:hAnsi="Arial Narrow"/>
          <w:sz w:val="20"/>
          <w:szCs w:val="20"/>
        </w:rPr>
      </w:pPr>
      <w:r>
        <w:rPr>
          <w:rFonts w:ascii="Arial Narrow" w:hAnsi="Arial Narrow"/>
          <w:sz w:val="20"/>
          <w:szCs w:val="20"/>
        </w:rPr>
        <w:t>NOEC (21d) peo landplanter: 1080 mg/kg</w:t>
      </w:r>
    </w:p>
    <w:p>
      <w:pPr>
        <w:pStyle w:val="Normal"/>
        <w:spacing w:lineRule="auto" w:line="240" w:before="0" w:after="0"/>
        <w:rPr>
          <w:rFonts w:ascii="Arial Narrow" w:hAnsi="Arial Narrow"/>
          <w:sz w:val="20"/>
          <w:szCs w:val="20"/>
        </w:rPr>
      </w:pPr>
      <w:r>
        <w:rPr>
          <w:rFonts w:ascii="Arial Narrow" w:hAnsi="Arial Narrow"/>
          <w:sz w:val="20"/>
          <w:szCs w:val="20"/>
        </w:rPr>
        <w:t>Ved en høj koncentration bruges calciumhydroxid til at desinficere affaldsslam gennem en stigning i temperatur og pH.</w:t>
      </w:r>
    </w:p>
    <w:p>
      <w:pPr>
        <w:pStyle w:val="Normal"/>
        <w:spacing w:lineRule="auto" w:line="240" w:before="0" w:after="0"/>
        <w:rPr>
          <w:rFonts w:ascii="Arial Narrow" w:hAnsi="Arial Narrow"/>
          <w:sz w:val="20"/>
          <w:szCs w:val="20"/>
        </w:rPr>
      </w:pPr>
      <w:r>
        <w:rPr>
          <w:rFonts w:ascii="Arial Narrow" w:hAnsi="Arial Narrow"/>
          <w:sz w:val="20"/>
          <w:szCs w:val="20"/>
        </w:rPr>
        <w:t>Akut effekt gennem pH-ændring - selvom calciumhydroxid bruges til at justere vandets surhedsgrad, kan indholdet øges med mere end 1 g/l farligt for vandlevende organismer. En pH &gt; 12 falder hurtigt på grund af fortynding og omdannelse til carbonat.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Persistens og nedbrydelighed: </w:t>
      </w:r>
      <w:r>
        <w:rPr>
          <w:rFonts w:ascii="Arial Narrow" w:hAnsi="Arial Narrow"/>
          <w:sz w:val="20"/>
          <w:szCs w:val="20"/>
        </w:rPr>
        <w:t>ikke bestemt for blandingen, på grund af arten af de enkelte komponenter forventes det ikke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Bioakkumuleringspotentiale:</w:t>
      </w:r>
      <w:r>
        <w:rPr/>
        <w:t xml:space="preserve"> </w:t>
      </w:r>
      <w:r>
        <w:rPr>
          <w:rFonts w:ascii="Arial Narrow" w:hAnsi="Arial Narrow"/>
          <w:sz w:val="20"/>
          <w:szCs w:val="20"/>
        </w:rPr>
        <w:t>ikke bestemt for blandingen, på grund af arten af de enkelte komponenter, forventes det ikke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Mobilitet i jord:</w:t>
      </w:r>
      <w:r>
        <w:rPr/>
        <w:t xml:space="preserve"> </w:t>
      </w:r>
      <w:r>
        <w:rPr>
          <w:rFonts w:ascii="Arial Narrow" w:hAnsi="Arial Narrow"/>
          <w:sz w:val="20"/>
          <w:szCs w:val="20"/>
        </w:rPr>
        <w:t>ikke bestemt for blandingen, på grund af arten af de enkelte komponenter forventes det ikke; efter hærdning af produktet med vand dannes et stabilt fast produkt. Calciumhydroxid i sig selv er næsten ikke opløseligt i vand og udviser lav mobilitet i de fleste jordarter. Det bruges blandt andet som gødning.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Resultater af PBT- og vPvB-vurdering: </w:t>
      </w:r>
      <w:r>
        <w:rPr>
          <w:rFonts w:ascii="Arial Narrow" w:hAnsi="Arial Narrow"/>
          <w:sz w:val="20"/>
          <w:szCs w:val="20"/>
        </w:rPr>
        <w:t>indeholder ikke PBT- eller vPvB-stoffer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Andre negative virkninger: </w:t>
      </w:r>
      <w:r>
        <w:rPr>
          <w:rFonts w:ascii="Arial Narrow" w:hAnsi="Arial Narrow"/>
          <w:sz w:val="20"/>
          <w:szCs w:val="20"/>
        </w:rPr>
        <w:t>ingen tilgængelige data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AFSNIT 13. BORTSKAFFELSESINSTRUKTIONER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Metoder til affaldsbehandling (rester af blandinger og vandforurenede blandinger)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Egnede metoder til at fjerne blandingen og forurenet emballage Både blandingen (rester) og den tomme emballage skal i henhold til gældende lovgivning bortskaffes som farligt affald på et af kommunen anvist sted til bortskaffelse af farligt affald eller afleveres til bortskaffelse til en fagligt kvalificeret virksomhed. Affald skal sikres mod lækage til det omgivende miljø. Ved håndtering af affald anbefales det at bruge personlige værnemidler (se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Støv: 10 13 06 Faste forurenende stoffer og støv (undtagen affald opført under numrene 10 13 12 og 10 13 13)</w:t>
      </w:r>
    </w:p>
    <w:p>
      <w:pPr>
        <w:pStyle w:val="Normal"/>
        <w:spacing w:lineRule="auto" w:line="240" w:before="0" w:after="0"/>
        <w:rPr>
          <w:rFonts w:ascii="Arial Narrow" w:hAnsi="Arial Narrow"/>
          <w:sz w:val="20"/>
          <w:szCs w:val="20"/>
        </w:rPr>
      </w:pPr>
      <w:r>
        <w:rPr>
          <w:rFonts w:ascii="Arial Narrow" w:hAnsi="Arial Narrow"/>
          <w:sz w:val="20"/>
          <w:szCs w:val="20"/>
        </w:rPr>
        <w:t>Ubrugt produkt:</w:t>
      </w:r>
    </w:p>
    <w:p>
      <w:pPr>
        <w:pStyle w:val="Normal"/>
        <w:spacing w:lineRule="auto" w:line="240" w:before="0" w:after="0"/>
        <w:rPr>
          <w:rFonts w:ascii="Arial Narrow" w:hAnsi="Arial Narrow"/>
          <w:sz w:val="20"/>
          <w:szCs w:val="20"/>
        </w:rPr>
      </w:pPr>
      <w:r>
        <w:rPr>
          <w:rFonts w:ascii="Arial Narrow" w:hAnsi="Arial Narrow"/>
          <w:sz w:val="20"/>
          <w:szCs w:val="20"/>
        </w:rPr>
        <w:t>10 13 11 affald fra cementbaserede kompositmaterialer, bortset fra dem, der er nævnt i 10 13 09 og 10 13 10</w:t>
      </w:r>
    </w:p>
    <w:p>
      <w:pPr>
        <w:pStyle w:val="Normal"/>
        <w:spacing w:lineRule="auto" w:line="240" w:before="0" w:after="0"/>
        <w:rPr>
          <w:rFonts w:ascii="Arial Narrow" w:hAnsi="Arial Narrow"/>
          <w:sz w:val="20"/>
          <w:szCs w:val="20"/>
        </w:rPr>
      </w:pPr>
      <w:r>
        <w:rPr>
          <w:rFonts w:ascii="Arial Narrow" w:hAnsi="Arial Narrow"/>
          <w:sz w:val="20"/>
          <w:szCs w:val="20"/>
        </w:rPr>
        <w:t>10 13 14 Affaldsbeton og betonslam</w:t>
      </w:r>
    </w:p>
    <w:p>
      <w:pPr>
        <w:pStyle w:val="Normal"/>
        <w:spacing w:lineRule="auto" w:line="240" w:before="0" w:after="0"/>
        <w:rPr>
          <w:rFonts w:ascii="Arial Narrow" w:hAnsi="Arial Narrow"/>
          <w:sz w:val="20"/>
          <w:szCs w:val="20"/>
        </w:rPr>
      </w:pPr>
      <w:r>
        <w:rPr>
          <w:rFonts w:ascii="Arial Narrow" w:hAnsi="Arial Narrow"/>
          <w:sz w:val="20"/>
          <w:szCs w:val="20"/>
        </w:rPr>
        <w:t>Produkt efter blanding med vand (og hærdning): 17 01 01 Beton</w:t>
      </w:r>
    </w:p>
    <w:p>
      <w:pPr>
        <w:pStyle w:val="Normal"/>
        <w:spacing w:lineRule="auto" w:line="240" w:before="0" w:after="0"/>
        <w:rPr>
          <w:rFonts w:ascii="Arial Narrow" w:hAnsi="Arial Narrow"/>
          <w:sz w:val="20"/>
          <w:szCs w:val="20"/>
        </w:rPr>
      </w:pPr>
      <w:r>
        <w:rPr>
          <w:rFonts w:ascii="Arial Narrow" w:hAnsi="Arial Narrow"/>
          <w:sz w:val="20"/>
          <w:szCs w:val="20"/>
        </w:rPr>
        <w:t>Emballage: i henhold til den specifikke emballagetype, emballagegruppe 15 01 xx (primært 15 01 01 til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Lovbestemmelser om affald</w:t>
      </w:r>
    </w:p>
    <w:p>
      <w:pPr>
        <w:pStyle w:val="Normal"/>
        <w:spacing w:lineRule="auto" w:line="240" w:before="0" w:after="0"/>
        <w:rPr>
          <w:rFonts w:ascii="Arial Narrow" w:hAnsi="Arial Narrow"/>
          <w:sz w:val="20"/>
          <w:szCs w:val="20"/>
        </w:rPr>
      </w:pPr>
      <w:r>
        <w:rPr>
          <w:rFonts w:ascii="Arial Narrow" w:hAnsi="Arial Narrow"/>
          <w:sz w:val="20"/>
          <w:szCs w:val="20"/>
        </w:rPr>
        <w:t>Lov nr. 185/2001 Saml. om affald, som ændret, og dets gennemførelsesbestemmelser</w:t>
      </w:r>
    </w:p>
    <w:p>
      <w:pPr>
        <w:pStyle w:val="Normal"/>
        <w:spacing w:lineRule="auto" w:line="240" w:before="0" w:after="0"/>
        <w:rPr>
          <w:rFonts w:ascii="Arial Narrow" w:hAnsi="Arial Narrow"/>
          <w:sz w:val="20"/>
          <w:szCs w:val="20"/>
        </w:rPr>
      </w:pPr>
      <w:r>
        <w:rPr>
          <w:rFonts w:ascii="Arial Narrow" w:hAnsi="Arial Narrow"/>
          <w:sz w:val="20"/>
          <w:szCs w:val="20"/>
        </w:rPr>
        <w:t>Lov nr. 477/2001 Coll., om emballage, med senere ændringer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AFSNIT 14. FORBEREDELSE INFORMATION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Produkterne er ikke i forstanden i § 22, stk. (1) Lov nr. 111 / 1994 Coll. om vejtransport af farligt gods som ændret og er ikke omfattet af bestemmelserne i den europæiske aftale om transport af farligt gods ad vej (ADR) eller bestemmelserne i reglementet for international jernbanetransport af farligt gods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UN-nummer: ikke relevant</w:t>
      </w:r>
    </w:p>
    <w:p>
      <w:pPr>
        <w:pStyle w:val="Normal"/>
        <w:spacing w:lineRule="auto" w:line="240" w:before="0" w:after="0"/>
        <w:rPr>
          <w:rFonts w:ascii="Arial Narrow" w:hAnsi="Arial Narrow"/>
          <w:sz w:val="20"/>
          <w:szCs w:val="20"/>
        </w:rPr>
      </w:pPr>
      <w:r>
        <w:rPr>
          <w:rFonts w:ascii="Arial Narrow" w:hAnsi="Arial Narrow"/>
          <w:sz w:val="20"/>
          <w:szCs w:val="20"/>
        </w:rPr>
        <w:t>14.2 UN-forsendelsesnavn: ikke relevant</w:t>
      </w:r>
    </w:p>
    <w:p>
      <w:pPr>
        <w:pStyle w:val="Normal"/>
        <w:spacing w:lineRule="auto" w:line="240" w:before="0" w:after="0"/>
        <w:rPr>
          <w:rFonts w:ascii="Arial Narrow" w:hAnsi="Arial Narrow"/>
          <w:sz w:val="20"/>
          <w:szCs w:val="20"/>
        </w:rPr>
      </w:pPr>
      <w:r>
        <w:rPr>
          <w:rFonts w:ascii="Arial Narrow" w:hAnsi="Arial Narrow"/>
          <w:sz w:val="20"/>
          <w:szCs w:val="20"/>
        </w:rPr>
        <w:t>14.3 Transportfareklasse/-klasser: ikke relevant</w:t>
      </w:r>
    </w:p>
    <w:p>
      <w:pPr>
        <w:pStyle w:val="Normal"/>
        <w:spacing w:lineRule="auto" w:line="240" w:before="0" w:after="0"/>
        <w:rPr>
          <w:rFonts w:ascii="Arial Narrow" w:hAnsi="Arial Narrow"/>
          <w:sz w:val="20"/>
          <w:szCs w:val="20"/>
        </w:rPr>
      </w:pPr>
      <w:r>
        <w:rPr>
          <w:rFonts w:ascii="Arial Narrow" w:hAnsi="Arial Narrow"/>
          <w:sz w:val="20"/>
          <w:szCs w:val="20"/>
        </w:rPr>
        <w:t>14.4 Emballagegruppe: ikke relevant</w:t>
      </w:r>
    </w:p>
    <w:p>
      <w:pPr>
        <w:pStyle w:val="Normal"/>
        <w:spacing w:lineRule="auto" w:line="240" w:before="0" w:after="0"/>
        <w:rPr>
          <w:rFonts w:ascii="Arial Narrow" w:hAnsi="Arial Narrow"/>
          <w:sz w:val="20"/>
          <w:szCs w:val="20"/>
        </w:rPr>
      </w:pPr>
      <w:r>
        <w:rPr>
          <w:rFonts w:ascii="Arial Narrow" w:hAnsi="Arial Narrow"/>
          <w:sz w:val="20"/>
          <w:szCs w:val="20"/>
        </w:rPr>
        <w:t>14.5 Miljøfare: ikke relevant</w:t>
      </w:r>
    </w:p>
    <w:p>
      <w:pPr>
        <w:pStyle w:val="Normal"/>
        <w:spacing w:lineRule="auto" w:line="240" w:before="0" w:after="0"/>
        <w:rPr>
          <w:rFonts w:ascii="Arial Narrow" w:hAnsi="Arial Narrow"/>
          <w:sz w:val="20"/>
          <w:szCs w:val="20"/>
        </w:rPr>
      </w:pPr>
      <w:r>
        <w:rPr>
          <w:rFonts w:ascii="Arial Narrow" w:hAnsi="Arial Narrow"/>
          <w:sz w:val="20"/>
          <w:szCs w:val="20"/>
        </w:rPr>
        <w:t>14.6 Særlige sikkerhedsforanstaltninger for brugeren: ikke relevant</w:t>
      </w:r>
    </w:p>
    <w:p>
      <w:pPr>
        <w:pStyle w:val="Normal"/>
        <w:spacing w:lineRule="auto" w:line="240" w:before="0" w:after="0"/>
        <w:rPr>
          <w:rFonts w:ascii="Arial Narrow" w:hAnsi="Arial Narrow"/>
          <w:sz w:val="20"/>
          <w:szCs w:val="20"/>
        </w:rPr>
      </w:pPr>
      <w:r>
        <w:rPr>
          <w:rFonts w:ascii="Arial Narrow" w:hAnsi="Arial Narrow"/>
          <w:sz w:val="20"/>
          <w:szCs w:val="20"/>
        </w:rPr>
        <w:t>14.7 Transport af bulklast i henhold til bilag II til MARPOL-konventionen og IBC-koden: ikke relevant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AFSNIT 15. LOVGIVENDE OPLYSNINGER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Sikkerhed, sundhed og miljøbestemmelser/lovgivning specifik for stoffet eller blandingen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Europa-Parlamentets og Rådets forordning (EF) nr. 1907/2006, om registrering, vurdering, godkendelse og begrænsning af kemiske stoffer (REACH), som ændret af Europa-Parlamentets og Rådets forordning (EF) nr. 1272/2008, om klassificering, mærkning og emballering af stoffer og blandinger (CLP), som ændret;</w:t>
      </w:r>
    </w:p>
    <w:p>
      <w:pPr>
        <w:pStyle w:val="Normal"/>
        <w:spacing w:lineRule="auto" w:line="240" w:before="0" w:after="0"/>
        <w:rPr>
          <w:rFonts w:ascii="Arial Narrow" w:hAnsi="Arial Narrow"/>
          <w:sz w:val="20"/>
          <w:szCs w:val="20"/>
        </w:rPr>
      </w:pPr>
      <w:r>
        <w:rPr>
          <w:rFonts w:ascii="Arial Narrow" w:hAnsi="Arial Narrow"/>
          <w:sz w:val="20"/>
          <w:szCs w:val="20"/>
        </w:rPr>
        <w:t>Direktiv 67/548/EØF om indbyrdes tilnærmelse af lovgivningen vedrørende klassificering, emballering og mærkning af farlige stoffer (DSD);</w:t>
      </w:r>
    </w:p>
    <w:p>
      <w:pPr>
        <w:pStyle w:val="Normal"/>
        <w:spacing w:lineRule="auto" w:line="240" w:before="0" w:after="0"/>
        <w:rPr>
          <w:rFonts w:ascii="Arial Narrow" w:hAnsi="Arial Narrow"/>
          <w:sz w:val="20"/>
          <w:szCs w:val="20"/>
        </w:rPr>
      </w:pPr>
      <w:r>
        <w:rPr>
          <w:rFonts w:ascii="Arial Narrow" w:hAnsi="Arial Narrow"/>
          <w:sz w:val="20"/>
          <w:szCs w:val="20"/>
        </w:rPr>
        <w:t>Direktiv 1999/45/EF om indbyrdes tilnærmelse af medlemsstaternes retlige og administrative foranstaltninger vedrørende klassificering, emballering og mærkning af farlige præparater som ændret (DPD);</w:t>
      </w:r>
    </w:p>
    <w:p>
      <w:pPr>
        <w:pStyle w:val="Normal"/>
        <w:spacing w:lineRule="auto" w:line="240" w:before="0" w:after="0"/>
        <w:rPr>
          <w:rFonts w:ascii="Arial Narrow" w:hAnsi="Arial Narrow"/>
          <w:sz w:val="20"/>
          <w:szCs w:val="20"/>
        </w:rPr>
      </w:pPr>
      <w:r>
        <w:rPr>
          <w:rFonts w:ascii="Arial Narrow" w:hAnsi="Arial Narrow"/>
          <w:sz w:val="20"/>
          <w:szCs w:val="20"/>
        </w:rPr>
        <w:t>Europæisk aftale om international transport af farligt gods ad vej (ADR)</w:t>
      </w:r>
    </w:p>
    <w:p>
      <w:pPr>
        <w:pStyle w:val="Normal"/>
        <w:spacing w:lineRule="auto" w:line="240" w:before="0" w:after="0"/>
        <w:rPr>
          <w:rFonts w:ascii="Arial Narrow" w:hAnsi="Arial Narrow"/>
          <w:sz w:val="20"/>
          <w:szCs w:val="20"/>
        </w:rPr>
      </w:pPr>
      <w:r>
        <w:rPr>
          <w:rFonts w:ascii="Arial Narrow" w:hAnsi="Arial Narrow"/>
          <w:sz w:val="20"/>
          <w:szCs w:val="20"/>
        </w:rPr>
        <w:t>Lov nr. 258/2000 Saml. om beskyttelse af folkesundheden, som ændret;</w:t>
      </w:r>
    </w:p>
    <w:p>
      <w:pPr>
        <w:pStyle w:val="Normal"/>
        <w:spacing w:lineRule="auto" w:line="240" w:before="0" w:after="0"/>
        <w:rPr>
          <w:rFonts w:ascii="Arial Narrow" w:hAnsi="Arial Narrow"/>
          <w:sz w:val="20"/>
          <w:szCs w:val="20"/>
        </w:rPr>
      </w:pPr>
      <w:r>
        <w:rPr>
          <w:rFonts w:ascii="Arial Narrow" w:hAnsi="Arial Narrow"/>
          <w:sz w:val="20"/>
          <w:szCs w:val="20"/>
        </w:rPr>
        <w:t>Lov 262/2006 Coll., Labor Code, som ændret;</w:t>
      </w:r>
    </w:p>
    <w:p>
      <w:pPr>
        <w:pStyle w:val="Normal"/>
        <w:spacing w:lineRule="auto" w:line="240" w:before="0" w:after="0"/>
        <w:rPr>
          <w:rFonts w:ascii="Arial Narrow" w:hAnsi="Arial Narrow"/>
          <w:sz w:val="20"/>
          <w:szCs w:val="20"/>
        </w:rPr>
      </w:pPr>
      <w:r>
        <w:rPr>
          <w:rFonts w:ascii="Arial Narrow" w:hAnsi="Arial Narrow"/>
          <w:sz w:val="20"/>
          <w:szCs w:val="20"/>
        </w:rPr>
        <w:t>Regeringens forordning nr. 361/2007 Coll., Fastsættelse af betingelserne for sundhedsbeskyttelse af ansatte på arbejdspladsen, som ændret; 201/2012 Saml. om luftbeskyttelse og dens gennemførelsesbestemmelser;</w:t>
      </w:r>
    </w:p>
    <w:p>
      <w:pPr>
        <w:pStyle w:val="Normal"/>
        <w:spacing w:lineRule="auto" w:line="240" w:before="0" w:after="0"/>
        <w:rPr>
          <w:rFonts w:ascii="Arial Narrow" w:hAnsi="Arial Narrow"/>
          <w:sz w:val="20"/>
          <w:szCs w:val="20"/>
        </w:rPr>
      </w:pPr>
      <w:r>
        <w:rPr>
          <w:rFonts w:ascii="Arial Narrow" w:hAnsi="Arial Narrow"/>
          <w:sz w:val="20"/>
          <w:szCs w:val="20"/>
        </w:rPr>
        <w:t>Lov nr. 185 / 2001 Coll. om affald, som ændret, og dets gennemførelsesbestemmelser;</w:t>
      </w:r>
    </w:p>
    <w:p>
      <w:pPr>
        <w:pStyle w:val="Normal"/>
        <w:spacing w:lineRule="auto" w:line="240" w:before="0" w:after="0"/>
        <w:rPr>
          <w:rFonts w:ascii="Arial Narrow" w:hAnsi="Arial Narrow"/>
          <w:sz w:val="20"/>
          <w:szCs w:val="20"/>
        </w:rPr>
      </w:pPr>
      <w:r>
        <w:rPr>
          <w:rFonts w:ascii="Arial Narrow" w:hAnsi="Arial Narrow"/>
          <w:sz w:val="20"/>
          <w:szCs w:val="20"/>
        </w:rPr>
        <w:t>Lov nr. 477/2001 Saml. på emballage som ændret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15.2 Kemikaliesikkerhedsvurdering: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sz w:val="20"/>
          <w:szCs w:val="20"/>
        </w:rPr>
        <w:t>Med henblik på registrering af støv fra produktionen af Portland-klinker blev der udført en kemikaliesikkerhedsvurdering for en række scenarier for dets anvendelse, herunder scenarier for anvendelse i tørre mørtelblandinger. Alle væsentlige konklusioner fra vurderingen af dette stof, som også kan anvendes på cementklinker, er inkluderet i dette sikkerhedsdatablad. Mørtelblandinger er et produkt beregnet til slutbrug, derfor er der ikke vedhæftet andre eksponeringsscenarier til sikkerhedsdatabladet.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AFSNIT 16. YDERLIGERE OPLYSNINGER</w:t>
      </w:r>
    </w:p>
    <w:p>
      <w:pPr>
        <w:pStyle w:val="Normal"/>
        <w:spacing w:lineRule="auto" w:line="240" w:before="0" w:after="0"/>
        <w:rPr>
          <w:rFonts w:ascii="Arial Narrow" w:hAnsi="Arial Narrow"/>
          <w:b/>
          <w:b/>
          <w:sz w:val="20"/>
          <w:szCs w:val="20"/>
        </w:rPr>
      </w:pPr>
      <w:r>
        <w:rPr>
          <w:rFonts w:ascii="Arial Narrow" w:hAnsi="Arial Narrow"/>
          <w:b/>
          <w:sz w:val="20"/>
          <w:szCs w:val="20"/>
        </w:rPr>
        <w:t>R-sætning:</w:t>
      </w:r>
    </w:p>
    <w:p>
      <w:pPr>
        <w:pStyle w:val="Normal"/>
        <w:spacing w:lineRule="auto" w:line="240" w:before="0" w:after="0"/>
        <w:rPr>
          <w:rFonts w:ascii="Arial Narrow" w:hAnsi="Arial Narrow"/>
          <w:sz w:val="20"/>
          <w:szCs w:val="20"/>
        </w:rPr>
      </w:pPr>
      <w:r>
        <w:rPr>
          <w:rFonts w:ascii="Arial Narrow" w:hAnsi="Arial Narrow"/>
          <w:sz w:val="20"/>
          <w:szCs w:val="20"/>
        </w:rPr>
        <w:t>R 20/22 Farlig ved indånding og ved indtagelse</w:t>
      </w:r>
    </w:p>
    <w:p>
      <w:pPr>
        <w:pStyle w:val="Normal"/>
        <w:spacing w:lineRule="auto" w:line="240" w:before="0" w:after="0"/>
        <w:rPr>
          <w:rFonts w:ascii="Arial Narrow" w:hAnsi="Arial Narrow"/>
          <w:sz w:val="20"/>
          <w:szCs w:val="20"/>
        </w:rPr>
      </w:pPr>
      <w:r>
        <w:rPr>
          <w:rFonts w:ascii="Arial Narrow" w:hAnsi="Arial Narrow"/>
          <w:sz w:val="20"/>
          <w:szCs w:val="20"/>
        </w:rPr>
        <w:t>R 36 Irriterer øjnene</w:t>
      </w:r>
    </w:p>
    <w:p>
      <w:pPr>
        <w:pStyle w:val="Normal"/>
        <w:spacing w:lineRule="auto" w:line="240" w:before="0" w:after="0"/>
        <w:rPr>
          <w:rFonts w:ascii="Arial Narrow" w:hAnsi="Arial Narrow"/>
          <w:sz w:val="20"/>
          <w:szCs w:val="20"/>
        </w:rPr>
      </w:pPr>
      <w:r>
        <w:rPr>
          <w:rFonts w:ascii="Arial Narrow" w:hAnsi="Arial Narrow"/>
          <w:sz w:val="20"/>
          <w:szCs w:val="20"/>
        </w:rPr>
        <w:t>R 37 Irriterer luftvejene</w:t>
      </w:r>
    </w:p>
    <w:p>
      <w:pPr>
        <w:pStyle w:val="Normal"/>
        <w:spacing w:lineRule="auto" w:line="240" w:before="0" w:after="0"/>
        <w:rPr>
          <w:rFonts w:ascii="Arial Narrow" w:hAnsi="Arial Narrow"/>
          <w:sz w:val="20"/>
          <w:szCs w:val="20"/>
        </w:rPr>
      </w:pPr>
      <w:r>
        <w:rPr>
          <w:rFonts w:ascii="Arial Narrow" w:hAnsi="Arial Narrow"/>
          <w:sz w:val="20"/>
          <w:szCs w:val="20"/>
        </w:rPr>
        <w:t>R 38 Irriterer huden</w:t>
      </w:r>
    </w:p>
    <w:p>
      <w:pPr>
        <w:pStyle w:val="Normal"/>
        <w:spacing w:lineRule="auto" w:line="240" w:before="0" w:after="0"/>
        <w:rPr>
          <w:rFonts w:ascii="Arial Narrow" w:hAnsi="Arial Narrow"/>
          <w:sz w:val="20"/>
          <w:szCs w:val="20"/>
        </w:rPr>
      </w:pPr>
      <w:r>
        <w:rPr>
          <w:rFonts w:ascii="Arial Narrow" w:hAnsi="Arial Narrow"/>
          <w:sz w:val="20"/>
          <w:szCs w:val="20"/>
        </w:rPr>
        <w:t>R 41 Risiko for alvorlig øjenskade</w:t>
      </w:r>
    </w:p>
    <w:p>
      <w:pPr>
        <w:pStyle w:val="Normal"/>
        <w:spacing w:lineRule="auto" w:line="240" w:before="0" w:after="0"/>
        <w:rPr>
          <w:rFonts w:ascii="Arial Narrow" w:hAnsi="Arial Narrow"/>
          <w:sz w:val="20"/>
          <w:szCs w:val="20"/>
        </w:rPr>
      </w:pPr>
      <w:r>
        <w:rPr>
          <w:rFonts w:ascii="Arial Narrow" w:hAnsi="Arial Narrow"/>
          <w:sz w:val="20"/>
          <w:szCs w:val="20"/>
        </w:rPr>
        <w:t>R 43 Kan give overfølsomhed ved kontakt med huden</w:t>
      </w:r>
    </w:p>
    <w:p>
      <w:pPr>
        <w:pStyle w:val="Normal"/>
        <w:spacing w:lineRule="auto" w:line="240" w:before="0" w:after="0"/>
        <w:rPr>
          <w:rFonts w:ascii="Arial Narrow" w:hAnsi="Arial Narrow"/>
          <w:b/>
          <w:b/>
          <w:sz w:val="20"/>
          <w:szCs w:val="20"/>
        </w:rPr>
      </w:pPr>
      <w:r>
        <w:rPr>
          <w:rFonts w:ascii="Arial Narrow" w:hAnsi="Arial Narrow"/>
          <w:b/>
          <w:sz w:val="20"/>
          <w:szCs w:val="20"/>
        </w:rPr>
        <w:t>H-sætning:</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H315 Irriterer huden.</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H317 Kan forårsage en allergisk hudreaktion.</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H318 Forårsager alvorlig øjenskade.</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H335 Kan forårsage irritation af luftvejene.</w:t>
      </w:r>
    </w:p>
    <w:p>
      <w:pPr>
        <w:pStyle w:val="Normal"/>
        <w:spacing w:lineRule="auto" w:line="240" w:before="0" w:after="0"/>
        <w:rPr>
          <w:rFonts w:ascii="Arial Narrow" w:hAnsi="Arial Narrow" w:cs="DejaVu Sans"/>
          <w:b/>
          <w:b/>
          <w:sz w:val="20"/>
          <w:szCs w:val="20"/>
        </w:rPr>
      </w:pPr>
      <w:r>
        <w:rPr>
          <w:rFonts w:cs="DejaVu Sans" w:ascii="Arial Narrow" w:hAnsi="Arial Narrow"/>
          <w:b/>
          <w:sz w:val="20"/>
          <w:szCs w:val="20"/>
        </w:rPr>
        <w:t>P-sætning:</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Hvis der er behov for lægehjælp, skal du have beholderen eller producentens etiket til rådighed.</w:t>
      </w:r>
    </w:p>
    <w:p>
      <w:pPr>
        <w:pStyle w:val="Normal"/>
        <w:spacing w:lineRule="auto" w:line="240" w:before="0" w:after="0"/>
        <w:rPr>
          <w:rFonts w:ascii="Arial Narrow" w:hAnsi="Arial Narrow"/>
          <w:sz w:val="20"/>
          <w:szCs w:val="20"/>
        </w:rPr>
      </w:pPr>
      <w:r>
        <w:rPr>
          <w:rFonts w:ascii="Arial Narrow" w:hAnsi="Arial Narrow"/>
          <w:sz w:val="20"/>
          <w:szCs w:val="20"/>
        </w:rPr>
        <w:t>P102 Opbevares utilgængeligt for børn.</w:t>
      </w:r>
    </w:p>
    <w:p>
      <w:pPr>
        <w:pStyle w:val="Normal"/>
        <w:spacing w:lineRule="auto" w:line="240" w:before="0" w:after="0"/>
        <w:rPr>
          <w:rFonts w:ascii="Arial Narrow" w:hAnsi="Arial Narrow"/>
          <w:sz w:val="20"/>
          <w:szCs w:val="20"/>
        </w:rPr>
      </w:pPr>
      <w:r>
        <w:rPr>
          <w:rFonts w:ascii="Arial Narrow" w:hAnsi="Arial Narrow"/>
          <w:sz w:val="20"/>
          <w:szCs w:val="20"/>
        </w:rPr>
        <w:t>P261 Undgå indånding af støv.</w:t>
      </w:r>
    </w:p>
    <w:p>
      <w:pPr>
        <w:pStyle w:val="Normal"/>
        <w:spacing w:lineRule="auto" w:line="240" w:before="0" w:after="0"/>
        <w:rPr>
          <w:rFonts w:ascii="Arial Narrow" w:hAnsi="Arial Narrow"/>
          <w:sz w:val="20"/>
          <w:szCs w:val="20"/>
        </w:rPr>
      </w:pPr>
      <w:r>
        <w:rPr>
          <w:rFonts w:ascii="Arial Narrow" w:hAnsi="Arial Narrow"/>
          <w:sz w:val="20"/>
          <w:szCs w:val="20"/>
        </w:rPr>
        <w:t>P280 Bær beskyttelseshandsker / beskyttelsestøj / sikkerhedsbriller / ansigtsskærm.</w:t>
      </w:r>
    </w:p>
    <w:p>
      <w:pPr>
        <w:pStyle w:val="Normal"/>
        <w:spacing w:lineRule="auto" w:line="240" w:before="0" w:after="0"/>
        <w:rPr>
          <w:rFonts w:ascii="Arial Narrow" w:hAnsi="Arial Narrow"/>
          <w:sz w:val="20"/>
          <w:szCs w:val="20"/>
        </w:rPr>
      </w:pPr>
      <w:r>
        <w:rPr>
          <w:rFonts w:ascii="Arial Narrow" w:hAnsi="Arial Narrow"/>
          <w:sz w:val="20"/>
          <w:szCs w:val="20"/>
        </w:rPr>
        <w:t>P305 + P351 + P338: VED KONTAKT MED ØJNENE: Skyl forsigtigt med vand i flere minutter. Fjern kontaktlinser, hvis de bæres, og fjern dem, hvis det er muligt. Fortsæt med at skylle.</w:t>
      </w:r>
    </w:p>
    <w:p>
      <w:pPr>
        <w:pStyle w:val="Normal"/>
        <w:spacing w:lineRule="auto" w:line="240" w:before="0" w:after="0"/>
        <w:rPr>
          <w:rFonts w:ascii="Arial Narrow" w:hAnsi="Arial Narrow"/>
          <w:sz w:val="20"/>
          <w:szCs w:val="20"/>
        </w:rPr>
      </w:pPr>
      <w:r>
        <w:rPr>
          <w:rFonts w:ascii="Arial Narrow" w:hAnsi="Arial Narrow"/>
          <w:sz w:val="20"/>
          <w:szCs w:val="20"/>
        </w:rPr>
        <w:t>P310: Ring omgående til en GIFTINFORMATION eller en læge.</w:t>
      </w:r>
    </w:p>
    <w:p>
      <w:pPr>
        <w:pStyle w:val="Normal"/>
        <w:spacing w:lineRule="auto" w:line="240" w:before="0" w:after="0"/>
        <w:rPr>
          <w:rFonts w:ascii="Arial Narrow" w:hAnsi="Arial Narrow"/>
          <w:sz w:val="20"/>
          <w:szCs w:val="20"/>
        </w:rPr>
      </w:pPr>
      <w:r>
        <w:rPr>
          <w:rFonts w:ascii="Arial Narrow" w:hAnsi="Arial Narrow"/>
          <w:sz w:val="20"/>
          <w:szCs w:val="20"/>
        </w:rPr>
        <w:t>P302 + P352: VED KONTAKT MED HUDEN: Vask med rigeligt vand og sæbe. I tilfælde af hudirritation eller udslæt</w:t>
      </w:r>
    </w:p>
    <w:p>
      <w:pPr>
        <w:pStyle w:val="Normal"/>
        <w:spacing w:lineRule="auto" w:line="240" w:before="0" w:after="0"/>
        <w:rPr>
          <w:rFonts w:ascii="Arial Narrow" w:hAnsi="Arial Narrow"/>
          <w:sz w:val="20"/>
          <w:szCs w:val="20"/>
        </w:rPr>
      </w:pPr>
      <w:r>
        <w:rPr>
          <w:rFonts w:ascii="Arial Narrow" w:hAnsi="Arial Narrow"/>
          <w:sz w:val="20"/>
          <w:szCs w:val="20"/>
        </w:rPr>
        <w:t>P333 + P313: Søg lægehjælp.</w:t>
      </w:r>
    </w:p>
    <w:p>
      <w:pPr>
        <w:pStyle w:val="Normal"/>
        <w:spacing w:lineRule="auto" w:line="240" w:before="0" w:after="0"/>
        <w:rPr>
          <w:rFonts w:ascii="Arial Narrow" w:hAnsi="Arial Narrow"/>
          <w:sz w:val="20"/>
          <w:szCs w:val="20"/>
        </w:rPr>
      </w:pPr>
      <w:r>
        <w:rPr>
          <w:rFonts w:ascii="Arial Narrow" w:hAnsi="Arial Narrow"/>
          <w:sz w:val="20"/>
          <w:szCs w:val="20"/>
        </w:rPr>
        <w:t>P304 + P340: VED INDÅNDING: Flyt personen til frisk luft og hold i en stilling, der letter vejrtrækningen.</w:t>
      </w:r>
    </w:p>
    <w:p>
      <w:pPr>
        <w:pStyle w:val="Normal"/>
        <w:spacing w:lineRule="auto" w:line="240" w:before="0" w:after="0"/>
        <w:rPr>
          <w:rFonts w:ascii="Arial Narrow" w:hAnsi="Arial Narrow"/>
          <w:sz w:val="20"/>
          <w:szCs w:val="20"/>
        </w:rPr>
      </w:pPr>
      <w:r>
        <w:rPr>
          <w:rFonts w:ascii="Arial Narrow" w:hAnsi="Arial Narrow"/>
          <w:sz w:val="20"/>
          <w:szCs w:val="20"/>
        </w:rPr>
        <w:t>P312 Ring til et GIFTINFORMATIONSCENTRAL eller en læge, hvis du føler dig utilpas.</w:t>
      </w:r>
    </w:p>
    <w:p>
      <w:pPr>
        <w:pStyle w:val="Normal"/>
        <w:spacing w:lineRule="auto" w:line="240" w:before="0" w:after="0"/>
        <w:rPr>
          <w:rFonts w:ascii="Arial Narrow" w:hAnsi="Arial Narrow"/>
          <w:sz w:val="20"/>
          <w:szCs w:val="20"/>
        </w:rPr>
      </w:pPr>
      <w:r>
        <w:rPr>
          <w:rFonts w:ascii="Arial Narrow" w:hAnsi="Arial Narrow"/>
          <w:sz w:val="20"/>
          <w:szCs w:val="20"/>
        </w:rPr>
        <w:t>P501 Bortskaf indholdet/emballagen på et indsamlingssted, der er udpeget i henhold til lokale regler.</w:t>
      </w:r>
    </w:p>
    <w:p>
      <w:pPr>
        <w:pStyle w:val="Normal"/>
        <w:widowControl/>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R70 | Side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w:t>
    </w:r>
    <w:r>
      <w:rPr>
        <w:sz w:val="16"/>
        <w:szCs w:val="16"/>
        <w:bCs/>
        <w:rFonts w:cs="Arial" w:ascii="Arial" w:hAnsi="Arial"/>
        <w:color w:val="FF0000"/>
      </w:rPr>
      <w:fldChar w:fldCharType="end"/>
    </w:r>
    <w:r>
      <w:rPr>
        <w:rFonts w:cs="Arial" w:ascii="Arial" w:hAnsi="Arial"/>
        <w:color w:val="FF0000"/>
        <w:sz w:val="16"/>
        <w:szCs w:val="16"/>
      </w:rPr>
      <w:t xml:space="preserve">af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right="0" w:hanging="426"/>
      <w:jc w:val="right"/>
      <w:rPr/>
    </w:pPr>
    <w:bookmarkStart w:id="0" w:name="_Hlk24560184"/>
    <w:bookmarkEnd w:id="0"/>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1" w:name="_Hlk245601841"/>
    <w:bookmarkStart w:id="2" w:name="_Hlk245601841"/>
    <w:bookmarkEnd w:id="2"/>
  </w:p>
  <w:p>
    <w:pPr>
      <w:pStyle w:val="Zhlavie"/>
      <w:ind w:left="284" w:right="0" w:hanging="0"/>
      <w:rPr/>
    </w:pPr>
    <w:r>
      <w:rPr>
        <w:rFonts w:cs="Arial" w:ascii="Arial Narrow" w:hAnsi="Arial Narrow"/>
        <w:b/>
        <w:color w:val="262626"/>
        <w:spacing w:val="10"/>
        <w:sz w:val="28"/>
        <w:szCs w:val="28"/>
      </w:rPr>
      <w:t xml:space="preserve">Sikkerhedsdatablad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R70</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med bilag II REACH EF-forordning nr. 1907/2006 og forordning (EF) nr. 1272/2008</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Oprettet: 07/01/2023</w:t>
    </w:r>
  </w:p>
  <w:p>
    <w:pPr>
      <w:pStyle w:val="Zhlavie"/>
      <w:ind w:left="284" w:right="0"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da-DK"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DejaVu Sans"/>
      <w:color w:val="auto"/>
      <w:kern w:val="0"/>
      <w:sz w:val="22"/>
      <w:szCs w:val="22"/>
      <w:lang w:val="da-DK" w:eastAsia="en-US" w:bidi="ar-SA"/>
    </w:rPr>
  </w:style>
  <w:style w:type="character" w:styleId="DefaultParagraphFont">
    <w:name w:val="Default Paragraph Font"/>
    <w:qFormat/>
    <w:rPr/>
  </w:style>
  <w:style w:type="character" w:styleId="Internetovodkaz">
    <w:name w:val="Internetový odkaz"/>
    <w:basedOn w:val="DefaultParagraphFont"/>
    <w:rPr>
      <w:color w:val="0563C1"/>
      <w:u w:val="single"/>
    </w:rPr>
  </w:style>
  <w:style w:type="character" w:styleId="UnresolvedMention">
    <w:name w:val="Unresolved Mention"/>
    <w:basedOn w:val="DefaultParagraphFont"/>
    <w:qFormat/>
    <w:rPr>
      <w:color w:val="808080"/>
      <w:shd w:fill="E6E6E6" w:val="clear"/>
    </w:rPr>
  </w:style>
  <w:style w:type="character" w:styleId="ZkladntextChar">
    <w:name w:val="Základní text Char"/>
    <w:basedOn w:val="DefaultParagraphFont"/>
    <w:qFormat/>
    <w:rPr>
      <w:rFonts w:ascii="Arial Narrow" w:hAnsi="Arial Narrow" w:eastAsia="Arial Narrow"/>
      <w:sz w:val="18"/>
      <w:szCs w:val="18"/>
      <w:lang w:val="da-DK"/>
    </w:rPr>
  </w:style>
  <w:style w:type="character" w:styleId="PlaceholderText">
    <w:name w:val="Placeholder Text"/>
    <w:basedOn w:val="DefaultParagraphFont"/>
    <w:qFormat/>
    <w:rPr>
      <w:color w:val="808080"/>
    </w:rPr>
  </w:style>
  <w:style w:type="character" w:styleId="ZhlavChar">
    <w:name w:val="Záhlaví Char"/>
    <w:basedOn w:val="DefaultParagraphFont"/>
    <w:qFormat/>
    <w:rPr/>
  </w:style>
  <w:style w:type="character" w:styleId="ZpatChar">
    <w:name w:val="Zápatí Char"/>
    <w:basedOn w:val="DefaultParagraphFont"/>
    <w:qFormat/>
    <w:rPr/>
  </w:style>
  <w:style w:type="character" w:styleId="FormtovanvHTMLChar">
    <w:name w:val="Formátovaný v HTML Char"/>
    <w:basedOn w:val="DefaultParagraphFont"/>
    <w:link w:val="HTMLPreformatted"/>
    <w:qFormat/>
    <w:rPr>
      <w:rFonts w:ascii="Courier New" w:hAnsi="Courier New" w:eastAsia="Times New Roman" w:cs="Courier New"/>
      <w:sz w:val="20"/>
      <w:szCs w:val="20"/>
      <w:lang w:val="da-DK" w:eastAsia="de-DE"/>
    </w:rPr>
  </w:style>
  <w:style w:type="character" w:styleId="TextbublinyChar">
    <w:name w:val="Text bubliny Char"/>
    <w:basedOn w:val="DefaultParagraphFont"/>
    <w:link w:val="BalloonText"/>
    <w:qFormat/>
    <w:rPr>
      <w:rFonts w:ascii="Tahoma" w:hAnsi="Tahoma" w:cs="Tahoma"/>
      <w:sz w:val="16"/>
      <w:szCs w:val="16"/>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right="0" w:hanging="0"/>
    </w:pPr>
    <w:rPr>
      <w:rFonts w:ascii="Arial Narrow" w:hAnsi="Arial Narrow" w:eastAsia="Arial Narrow"/>
      <w:sz w:val="18"/>
      <w:szCs w:val="18"/>
      <w:lang w:val="da-DK"/>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da-DK" w:eastAsia="zxx" w:bidi="zxx"/>
    </w:rPr>
  </w:style>
  <w:style w:type="paragraph" w:styleId="ListParagraph">
    <w:name w:val="List Paragraph"/>
    <w:basedOn w:val="Normal"/>
    <w:qFormat/>
    <w:pPr>
      <w:spacing w:before="0" w:after="160"/>
      <w:ind w:left="720" w:right="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da-DK" w:eastAsia="de-DE"/>
    </w:rPr>
  </w:style>
  <w:style w:type="paragraph" w:styleId="Hlavikaapta">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da-DK"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name w:val="Obsah tabuľky"/>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Normal.dotm</Template>
  <TotalTime>1413</TotalTime>
  <Application>LibreOffice/7.3.7.2$Linux_X86_64 LibreOffice_project/30$Build-2</Application>
  <AppVersion>15.0000</AppVersion>
  <Pages>10</Pages>
  <Words>3764</Words>
  <Characters>23328</Characters>
  <CharactersWithSpaces>26859</CharactersWithSpaces>
  <Paragraphs>315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2020-11-02T09:44:00Z</dcterms:created>
  <dc:creator>Sprenger</dc:creator>
  <dc:description/>
  <dc:language>sk-SK</dc:language>
  <cp:lastModifiedBy/>
  <cp:lastPrinted>2018-07-03T07:46:00Z</cp:lastPrinted>
  <dcterms:modified xsi:type="dcterms:W3CDTF">2025-01-22T09:23:29Z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