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bmp" ContentType="image/bmp"/>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Część 1. IDENTYFIKACJA SUBSTANCJI/MIESZANINY I FIRMY/DZIAŁALNOŚCI</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contextualSpacing/>
        <w:rPr>
          <w:rFonts w:ascii="Arial Narrow" w:hAnsi="Arial Narrow"/>
          <w:iCs/>
          <w:sz w:val="20"/>
          <w:szCs w:val="20"/>
        </w:rPr>
      </w:pPr>
      <w:r>
        <w:rPr>
          <w:rFonts w:ascii="Arial Narrow" w:hAnsi="Arial Narrow"/>
          <w:b/>
          <w:iCs/>
          <w:sz w:val="20"/>
          <w:szCs w:val="20"/>
        </w:rPr>
        <w:t>Identyfikator produktu:</w:t>
      </w:r>
    </w:p>
    <w:p>
      <w:pPr>
        <w:pStyle w:val="Normal"/>
        <w:spacing w:before="0" w:after="0"/>
        <w:rPr/>
      </w:pPr>
      <w:r>
        <w:rPr>
          <w:rFonts w:ascii="Arial Narrow" w:hAnsi="Arial Narrow"/>
          <w:iCs/>
          <w:sz w:val="20"/>
          <w:szCs w:val="20"/>
        </w:rPr>
        <w:t>Nazwa produktu:</w:t>
      </w:r>
      <w:r>
        <w:rPr>
          <w:rFonts w:ascii="Arial Narrow" w:hAnsi="Arial Narrow"/>
          <w:b/>
          <w:iCs/>
          <w:sz w:val="20"/>
          <w:szCs w:val="20"/>
        </w:rPr>
        <w:t xml:space="preserve"> </w:t>
        <w:tab/>
      </w:r>
      <w:r>
        <w:rPr>
          <w:rFonts w:ascii="Arial Narrow" w:hAnsi="Arial Narrow"/>
          <w:b/>
          <w:bCs/>
          <w:sz w:val="20"/>
          <w:szCs w:val="20"/>
        </w:rPr>
        <w:t>IsoTex F50</w:t>
      </w:r>
    </w:p>
    <w:p>
      <w:pPr>
        <w:pStyle w:val="Normal"/>
        <w:spacing w:lineRule="auto" w:line="240" w:before="0" w:after="0"/>
        <w:ind w:left="141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Inne nazwy: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contextualSpacing/>
        <w:jc w:val="both"/>
        <w:rPr>
          <w:rFonts w:ascii="Arial Narrow" w:hAnsi="Arial Narrow"/>
          <w:iCs/>
          <w:sz w:val="20"/>
          <w:szCs w:val="20"/>
        </w:rPr>
      </w:pPr>
      <w:r>
        <w:rPr>
          <w:rFonts w:ascii="Arial Narrow" w:hAnsi="Arial Narrow"/>
          <w:iCs/>
          <w:sz w:val="20"/>
          <w:szCs w:val="20"/>
        </w:rPr>
        <w:t>Opis chemiczny: Sucha mieszanka tynkarska, mieszanka cementu portlandzkiego i dodatki zgodnie z STN EN 998-1 Nazwa chemiczna Cement portlandzki Numer CAS: 65997-15-1 Numer WE (EINECS): 266-043-4, Wodorotlenek wapnia Numer CAS: 1305. - 620 Numer WE (EINECS): 215-137-3</w:t>
      </w:r>
    </w:p>
    <w:p>
      <w:pPr>
        <w:pStyle w:val="Normal"/>
        <w:spacing w:lineRule="auto" w:line="240" w:before="0" w:after="0"/>
        <w:jc w:val="both"/>
        <w:rPr>
          <w:rFonts w:ascii="Arial Narrow" w:hAnsi="Arial Narrow"/>
          <w:sz w:val="20"/>
          <w:szCs w:val="20"/>
        </w:rPr>
      </w:pPr>
      <w:r>
        <w:rPr>
          <w:rFonts w:ascii="Arial Narrow" w:hAnsi="Arial Narrow"/>
          <w:b/>
          <w:sz w:val="20"/>
          <w:szCs w:val="20"/>
        </w:rPr>
        <w:t>1.3. Istotne zidentyfikowane zastosowania substancji lub mieszaniny oraz zastosowania:</w:t>
      </w:r>
    </w:p>
    <w:p>
      <w:pPr>
        <w:pStyle w:val="Normal"/>
        <w:spacing w:lineRule="auto" w:line="240" w:before="0" w:after="0"/>
        <w:rPr>
          <w:rFonts w:ascii="Arial Narrow" w:hAnsi="Arial Narrow"/>
          <w:sz w:val="20"/>
          <w:szCs w:val="20"/>
        </w:rPr>
      </w:pPr>
      <w:r>
        <w:rPr>
          <w:rFonts w:ascii="Arial Narrow" w:hAnsi="Arial Narrow"/>
          <w:sz w:val="20"/>
          <w:szCs w:val="20"/>
        </w:rPr>
        <w:t>Tynk przeznaczony jest do nakładania ręcznego lub maszynowego na zewnątrz lub wewnątrz budynków. Tynk charakteryzuje się dużą przyczepnością do podłoża, łatwością aplikacji, zmniejszoną nasiąkliwością powierzchniową i wydłużonym czasem obróbki. Mrozoodporny, odporny na warunki atmosferyczne tynk charakteryzuje się długą żywotnością i niską nasiąkliwością.</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Identyfikacja producenta</w:t>
      </w:r>
    </w:p>
    <w:p>
      <w:pPr>
        <w:pStyle w:val="Normal"/>
        <w:spacing w:lineRule="auto" w:line="240" w:before="0" w:after="0"/>
        <w:rPr>
          <w:rFonts w:ascii="Arial Narrow" w:hAnsi="Arial Narrow"/>
          <w:sz w:val="20"/>
          <w:szCs w:val="20"/>
        </w:rPr>
      </w:pPr>
      <w:r>
        <w:rPr>
          <w:rFonts w:ascii="Arial Narrow" w:hAnsi="Arial Narrow"/>
          <w:sz w:val="20"/>
          <w:szCs w:val="20"/>
        </w:rPr>
        <w:t>Wyprodukowano w UE dla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Telefon: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E-mail: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Strona internetowa: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Numer telefonu w sytuacjach awaryjnych</w:t>
      </w:r>
    </w:p>
    <w:p>
      <w:pPr>
        <w:pStyle w:val="Normal"/>
        <w:spacing w:lineRule="auto" w:line="240" w:before="0" w:after="0"/>
        <w:rPr>
          <w:rFonts w:ascii="Arial Narrow" w:hAnsi="Arial Narrow"/>
          <w:sz w:val="20"/>
          <w:szCs w:val="20"/>
        </w:rPr>
      </w:pPr>
      <w:r>
        <w:rPr>
          <w:rFonts w:ascii="Arial Narrow" w:hAnsi="Arial Narrow"/>
          <w:sz w:val="20"/>
          <w:szCs w:val="20"/>
        </w:rPr>
        <w:t>Centrum Informacji Toksykologicznej, Na bojišti 1, 128 08 Praga 2</w:t>
      </w:r>
    </w:p>
    <w:p>
      <w:pPr>
        <w:pStyle w:val="Normal"/>
        <w:spacing w:lineRule="auto" w:line="240" w:before="0" w:after="0"/>
        <w:rPr>
          <w:rFonts w:ascii="Arial Narrow" w:hAnsi="Arial Narrow"/>
          <w:sz w:val="20"/>
          <w:szCs w:val="20"/>
        </w:rPr>
      </w:pPr>
      <w:r>
        <w:rPr>
          <w:rFonts w:ascii="Arial Narrow" w:hAnsi="Arial Narrow"/>
          <w:sz w:val="20"/>
          <w:szCs w:val="20"/>
        </w:rPr>
        <w:t>Telefon: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 xml:space="preserve">SEKCJA 2. </w:t>
        <w:tab/>
        <w:tab/>
        <w:t>IDENTYFIKACJA ZAGROŻEŃ</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Klasyfikacja substancji lub mieszaniny:</w:t>
      </w:r>
    </w:p>
    <w:p>
      <w:pPr>
        <w:pStyle w:val="Normal"/>
        <w:spacing w:lineRule="auto" w:line="240" w:before="0" w:after="0"/>
        <w:rPr>
          <w:rFonts w:ascii="Arial Narrow" w:hAnsi="Arial Narrow"/>
          <w:sz w:val="20"/>
          <w:szCs w:val="20"/>
        </w:rPr>
      </w:pPr>
      <w:r>
        <w:rPr>
          <w:rFonts w:ascii="Arial Narrow" w:hAnsi="Arial Narrow"/>
          <w:sz w:val="20"/>
          <w:szCs w:val="20"/>
        </w:rPr>
        <w:t>Klasyfikacja zgodnie z rozporządzeniem (WE) nr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Podrażnienie skóry, kategoria 2: </w:t>
        <w:tab/>
        <w:t>H315 działa drażniąco na skórę.</w:t>
      </w:r>
    </w:p>
    <w:p>
      <w:pPr>
        <w:pStyle w:val="Normal"/>
        <w:spacing w:lineRule="auto" w:line="240" w:before="0" w:after="0"/>
        <w:rPr>
          <w:rFonts w:ascii="Arial Narrow" w:hAnsi="Arial Narrow"/>
          <w:sz w:val="20"/>
          <w:szCs w:val="20"/>
        </w:rPr>
      </w:pPr>
      <w:r>
        <w:rPr>
          <w:rFonts w:ascii="Arial Narrow" w:hAnsi="Arial Narrow"/>
          <w:sz w:val="20"/>
          <w:szCs w:val="20"/>
        </w:rPr>
        <w:t xml:space="preserve">Poważne uszkodzenie oczu, kategoria 1: </w:t>
        <w:tab/>
        <w:t>H318 Powoduje poważne uszkodzenie oczu.</w:t>
      </w:r>
    </w:p>
    <w:p>
      <w:pPr>
        <w:pStyle w:val="Normal"/>
        <w:spacing w:lineRule="auto" w:line="240" w:before="0" w:after="0"/>
        <w:rPr>
          <w:rFonts w:ascii="Arial Narrow" w:hAnsi="Arial Narrow"/>
          <w:sz w:val="20"/>
          <w:szCs w:val="20"/>
        </w:rPr>
      </w:pPr>
      <w:r>
        <w:rPr>
          <w:rFonts w:ascii="Arial Narrow" w:hAnsi="Arial Narrow"/>
          <w:sz w:val="20"/>
          <w:szCs w:val="20"/>
        </w:rPr>
        <w:t xml:space="preserve">Działanie uczulające na skórę, kategoria 1B, </w:t>
        <w:tab/>
        <w:t>H317 Może powodować reakcję alergiczną skóry.</w:t>
      </w:r>
    </w:p>
    <w:p>
      <w:pPr>
        <w:pStyle w:val="Normal"/>
        <w:spacing w:lineRule="auto" w:line="240" w:before="0" w:after="0"/>
        <w:rPr>
          <w:rFonts w:ascii="Arial Narrow" w:hAnsi="Arial Narrow"/>
          <w:sz w:val="20"/>
          <w:szCs w:val="20"/>
        </w:rPr>
      </w:pPr>
      <w:r>
        <w:rPr>
          <w:rFonts w:ascii="Arial Narrow" w:hAnsi="Arial Narrow"/>
          <w:sz w:val="20"/>
          <w:szCs w:val="20"/>
        </w:rPr>
        <w:t>Działanie toksyczne na narządy docelowe – narażenie jednorazowe, Kategoria 3, H335 Może powodować podrażnienie dróg oddechowych.</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elementy znakujące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Symbol ostrzegawczy:</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2">
            <wp:simplePos x="0" y="0"/>
            <wp:positionH relativeFrom="column">
              <wp:posOffset>13970</wp:posOffset>
            </wp:positionH>
            <wp:positionV relativeFrom="paragraph">
              <wp:posOffset>137795</wp:posOffset>
            </wp:positionV>
            <wp:extent cx="828040" cy="828040"/>
            <wp:effectExtent l="0" t="0" r="0" b="0"/>
            <wp:wrapTight wrapText="bothSides">
              <wp:wrapPolygon edited="0">
                <wp:start x="-44" y="0"/>
                <wp:lineTo x="-44" y="20833"/>
                <wp:lineTo x="20832" y="20833"/>
                <wp:lineTo x="20832" y="0"/>
                <wp:lineTo x="-44"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0.05pt;margin-top:0pt;width:1.15pt;height:28.35pt;mso-wrap-distance-left:9pt;mso-wrap-distance-right:0pt;mso-position-horizontal-relative:text;mso-position-vertical-relative:text" filled="f" o:ole="">
            <v:imagedata r:id="rId4" o:title=""/>
            <w10:wrap type="tight"/>
          </v:shape>
          <o:OLEObject Type="Embed" ProgID="PBrush" ShapeID="ole_rId3" DrawAspect="Content" ObjectID="_1943376393" r:id="rId3"/>
        </w:objec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słowo ostrzegawcze:</w:t>
      </w:r>
    </w:p>
    <w:p>
      <w:pPr>
        <w:pStyle w:val="Normal"/>
        <w:spacing w:lineRule="auto" w:line="240" w:before="0" w:after="0"/>
        <w:rPr>
          <w:rFonts w:ascii="Arial Narrow" w:hAnsi="Arial Narrow"/>
          <w:sz w:val="20"/>
          <w:szCs w:val="20"/>
        </w:rPr>
      </w:pPr>
      <w:r>
        <w:rPr>
          <w:rFonts w:ascii="Arial Narrow" w:hAnsi="Arial Narrow"/>
          <w:sz w:val="20"/>
          <w:szCs w:val="20"/>
        </w:rPr>
        <w:t>Niebezpieczeństwo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Standardowe zwroty wskazujące rodzaj zagrożenia: </w:t>
      </w:r>
      <w:r>
        <w:rPr>
          <w:rFonts w:ascii="Arial Narrow" w:hAnsi="Arial Narrow"/>
          <w:sz w:val="16"/>
          <w:szCs w:val="16"/>
        </w:rPr>
        <w:t>Cement portlandzki ( CAS: 65997-15-1 )</w:t>
      </w:r>
    </w:p>
    <w:p>
      <w:pPr>
        <w:pStyle w:val="Normal"/>
        <w:spacing w:lineRule="auto" w:line="240" w:before="0" w:after="0"/>
        <w:rPr>
          <w:rFonts w:ascii="Arial Narrow" w:hAnsi="Arial Narrow"/>
          <w:sz w:val="16"/>
          <w:szCs w:val="16"/>
        </w:rPr>
      </w:pPr>
      <w:r>
        <w:rPr>
          <w:rFonts w:ascii="Arial Narrow" w:hAnsi="Arial Narrow"/>
          <w:sz w:val="16"/>
          <w:szCs w:val="16"/>
        </w:rPr>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Działa drażniąco na skórę.</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Powoduje poważne uszkodzenie oczu.</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Może powodować podrażnienie dróg oddechowych.</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Instrukcje dotyczące bezpiecznego postępowania:</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Jeżeli konieczna jest pomoc lekarska, należy udostępnić opakowanie lub etykietę producenta.</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Chronić przed dziećmi.</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Unikać wdychania pyłu.</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Stosować rękawice ochronne/odzież ochronną/okulary ochronne/osłonę twarzy.</w:t>
      </w:r>
    </w:p>
    <w:p>
      <w:pPr>
        <w:pStyle w:val="Normal"/>
        <w:spacing w:lineRule="auto" w:line="240" w:before="0" w:after="0"/>
        <w:rPr>
          <w:rFonts w:ascii="Arial Narrow" w:hAnsi="Arial Narrow"/>
          <w:sz w:val="20"/>
          <w:szCs w:val="20"/>
        </w:rPr>
      </w:pPr>
      <w:r>
        <w:rPr>
          <w:rFonts w:ascii="Arial Narrow" w:hAnsi="Arial Narrow"/>
          <w:sz w:val="20"/>
          <w:szCs w:val="20"/>
        </w:rPr>
        <w:t>P305+P351+P338: W PRZYPADKU DOSTANIA SIĘ DO OCZU: Ostrożnie płukać wodą przez kilka minut. Wyjmij soczewki kontaktowe, jeśli są noszone i wyjmij je, jeśli to możliwe. Kontynuuj płukanie.</w:t>
      </w:r>
    </w:p>
    <w:p>
      <w:pPr>
        <w:pStyle w:val="Normal"/>
        <w:spacing w:lineRule="auto" w:line="240" w:before="0" w:after="0"/>
        <w:rPr>
          <w:rFonts w:ascii="Arial Narrow" w:hAnsi="Arial Narrow"/>
          <w:sz w:val="20"/>
          <w:szCs w:val="20"/>
        </w:rPr>
      </w:pPr>
      <w:r>
        <w:rPr>
          <w:rFonts w:ascii="Arial Narrow" w:hAnsi="Arial Narrow"/>
          <w:sz w:val="20"/>
          <w:szCs w:val="20"/>
        </w:rPr>
        <w:t>P310: Natychmiast skontaktować się z OŚRODKIEM ZATRUĆ lub lekarzem.</w:t>
      </w:r>
    </w:p>
    <w:p>
      <w:pPr>
        <w:pStyle w:val="Normal"/>
        <w:spacing w:lineRule="auto" w:line="240" w:before="0" w:after="0"/>
        <w:rPr>
          <w:rFonts w:ascii="Arial Narrow" w:hAnsi="Arial Narrow"/>
          <w:sz w:val="20"/>
          <w:szCs w:val="20"/>
        </w:rPr>
      </w:pPr>
      <w:r>
        <w:rPr>
          <w:rFonts w:ascii="Arial Narrow" w:hAnsi="Arial Narrow"/>
          <w:sz w:val="20"/>
          <w:szCs w:val="20"/>
        </w:rPr>
        <w:t>P302+P352: W PRZYPADKU KONTAKTU ZE SKÓRĄ: Umyć dużą ilością wody z mydłem. W przypadku podrażnienia skóry lub wysypki</w:t>
      </w:r>
    </w:p>
    <w:p>
      <w:pPr>
        <w:pStyle w:val="Normal"/>
        <w:spacing w:lineRule="auto" w:line="240" w:before="0" w:after="0"/>
        <w:rPr>
          <w:rFonts w:ascii="Arial Narrow" w:hAnsi="Arial Narrow"/>
          <w:sz w:val="20"/>
          <w:szCs w:val="20"/>
        </w:rPr>
      </w:pPr>
      <w:r>
        <w:rPr>
          <w:rFonts w:ascii="Arial Narrow" w:hAnsi="Arial Narrow"/>
          <w:sz w:val="20"/>
          <w:szCs w:val="20"/>
        </w:rPr>
        <w:t>P333+P313: Zapewnić pomoc/uwagę lekarską.</w:t>
      </w:r>
    </w:p>
    <w:p>
      <w:pPr>
        <w:pStyle w:val="Normal"/>
        <w:spacing w:lineRule="auto" w:line="240" w:before="0" w:after="0"/>
        <w:rPr>
          <w:rFonts w:ascii="Arial Narrow" w:hAnsi="Arial Narrow"/>
          <w:sz w:val="20"/>
          <w:szCs w:val="20"/>
        </w:rPr>
      </w:pPr>
      <w:r>
        <w:rPr>
          <w:rFonts w:ascii="Arial Narrow" w:hAnsi="Arial Narrow"/>
          <w:sz w:val="20"/>
          <w:szCs w:val="20"/>
        </w:rPr>
        <w:t>P304+P340: W PRZYPADKU DOSTANIA SIĘ DO DRÓG ODDECHOWYCH: wynieść osobę na świeże powietrze i utrzymać pozycję ułatwiającą oddychanie.</w:t>
      </w:r>
    </w:p>
    <w:p>
      <w:pPr>
        <w:pStyle w:val="Normal"/>
        <w:spacing w:lineRule="auto" w:line="240" w:before="0" w:after="0"/>
        <w:rPr>
          <w:rFonts w:ascii="Arial Narrow" w:hAnsi="Arial Narrow"/>
          <w:sz w:val="20"/>
          <w:szCs w:val="20"/>
        </w:rPr>
      </w:pPr>
      <w:r>
        <w:rPr>
          <w:rFonts w:ascii="Arial Narrow" w:hAnsi="Arial Narrow"/>
          <w:sz w:val="20"/>
          <w:szCs w:val="20"/>
        </w:rPr>
        <w:t>P312 W przypadku złego samopoczucia skontaktować się z OŚRODKIEM ZATRUĆ lub lekarzem.</w:t>
      </w:r>
    </w:p>
    <w:p>
      <w:pPr>
        <w:pStyle w:val="Normal"/>
        <w:spacing w:lineRule="auto" w:line="240" w:before="0" w:after="0"/>
        <w:rPr>
          <w:rFonts w:ascii="Arial Narrow" w:hAnsi="Arial Narrow"/>
          <w:sz w:val="20"/>
          <w:szCs w:val="20"/>
        </w:rPr>
      </w:pPr>
      <w:r>
        <w:rPr>
          <w:rFonts w:ascii="Arial Narrow" w:hAnsi="Arial Narrow"/>
          <w:sz w:val="20"/>
          <w:szCs w:val="20"/>
        </w:rPr>
        <w:t>P501 Zawartość/opakowanie usuwać w punkcie zbiórki wyznaczonym zgodnie z lokalnymi przepisami.</w:t>
      </w:r>
    </w:p>
    <w:p>
      <w:pPr>
        <w:pStyle w:val="Normal"/>
        <w:spacing w:lineRule="auto" w:line="240" w:before="0" w:after="0"/>
        <w:rPr>
          <w:rFonts w:ascii="Arial Narrow" w:hAnsi="Arial Narrow"/>
          <w:sz w:val="20"/>
          <w:szCs w:val="20"/>
        </w:rPr>
      </w:pPr>
      <w:r>
        <w:rPr>
          <w:rFonts w:ascii="Arial Narrow" w:hAnsi="Arial Narrow"/>
          <w:sz w:val="20"/>
          <w:szCs w:val="20"/>
        </w:rPr>
        <w:t>Niebezpieczne składniki: Cement portlandzki, wodorotlenek wapnia.</w:t>
      </w:r>
    </w:p>
    <w:p>
      <w:pPr>
        <w:pStyle w:val="Normal"/>
        <w:spacing w:lineRule="auto" w:line="240" w:before="0" w:after="0"/>
        <w:rPr>
          <w:rFonts w:ascii="Arial Narrow" w:hAnsi="Arial Narrow"/>
          <w:sz w:val="20"/>
          <w:szCs w:val="20"/>
        </w:rPr>
      </w:pPr>
      <w:r>
        <w:rPr>
          <w:rFonts w:ascii="Arial Narrow" w:hAnsi="Arial Narrow"/>
          <w:sz w:val="20"/>
          <w:szCs w:val="20"/>
        </w:rPr>
        <w:t>Informacje dodatkowe: Mokra mieszanina może uszkodzić produkty wykonane z aluminium i innych metali nieszlachetnych.</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Dodatkowe wskazówki dotyczące zagrożeń: nie dotyczy</w:t>
      </w:r>
    </w:p>
    <w:p>
      <w:pPr>
        <w:pStyle w:val="Normal"/>
        <w:spacing w:lineRule="auto" w:line="240" w:before="0" w:after="0"/>
        <w:rPr>
          <w:rFonts w:ascii="Arial Narrow" w:hAnsi="Arial Narrow"/>
          <w:b/>
          <w:b/>
          <w:sz w:val="20"/>
          <w:szCs w:val="20"/>
        </w:rPr>
      </w:pPr>
      <w:r>
        <w:rPr>
          <w:rFonts w:ascii="Arial Narrow" w:hAnsi="Arial Narrow"/>
          <w:b/>
          <w:sz w:val="20"/>
          <w:szCs w:val="20"/>
        </w:rPr>
        <w:t>Namacalne ostrzeżenie dla niewidomych: nie</w:t>
      </w:r>
    </w:p>
    <w:p>
      <w:pPr>
        <w:pStyle w:val="Normal"/>
        <w:spacing w:lineRule="auto" w:line="240" w:before="0" w:after="0"/>
        <w:rPr>
          <w:rFonts w:ascii="Arial Narrow" w:hAnsi="Arial Narrow"/>
          <w:b/>
          <w:b/>
          <w:sz w:val="20"/>
          <w:szCs w:val="20"/>
        </w:rPr>
      </w:pPr>
      <w:r>
        <w:rPr>
          <w:rFonts w:ascii="Arial Narrow" w:hAnsi="Arial Narrow"/>
          <w:b/>
          <w:sz w:val="20"/>
          <w:szCs w:val="20"/>
        </w:rPr>
        <w:t>Zamknięcie zabezpieczające przed dziećmi: nie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Kolejne niebezpieczeństwo</w:t>
      </w:r>
    </w:p>
    <w:p>
      <w:pPr>
        <w:pStyle w:val="Normal"/>
        <w:spacing w:lineRule="auto" w:line="240" w:before="0" w:after="0"/>
        <w:rPr>
          <w:rFonts w:ascii="Arial Narrow" w:hAnsi="Arial Narrow"/>
          <w:sz w:val="20"/>
          <w:szCs w:val="20"/>
        </w:rPr>
      </w:pPr>
      <w:r>
        <w:rPr>
          <w:rFonts w:ascii="Arial Narrow" w:hAnsi="Arial Narrow"/>
          <w:sz w:val="20"/>
          <w:szCs w:val="20"/>
        </w:rPr>
        <w:t>Powtarzający się kontakt, zwłaszcza mokrego produktu z niezabezpieczoną skórą, może powodować podrażnienie skóry (kontaktowe zapalenie skóry z podrażnienia), a u niektórych osób może nawet rozwinąć się alergiczne kontaktowe zapalenie skóry.</w:t>
      </w:r>
    </w:p>
    <w:p>
      <w:pPr>
        <w:pStyle w:val="Normal"/>
        <w:spacing w:lineRule="auto" w:line="240" w:before="0" w:after="0"/>
        <w:rPr>
          <w:rFonts w:ascii="Arial Narrow" w:hAnsi="Arial Narrow"/>
          <w:sz w:val="20"/>
          <w:szCs w:val="20"/>
        </w:rPr>
      </w:pPr>
      <w:r>
        <w:rPr>
          <w:rFonts w:ascii="Arial Narrow" w:hAnsi="Arial Narrow"/>
          <w:sz w:val="20"/>
          <w:szCs w:val="20"/>
        </w:rPr>
        <w:t>Po zmieszaniu z wodą tworzy się silnie zasadowa mieszanina, która przy wysokim pH może powodować korozję aluminium lub uszkodzenie organizmów wodnych lub roślin. Mieszanina nie spełnia kryteriów PBT lub vPvB zgodnie z Załącznikiem XIII Rozporządzenia UE 1907/. 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SEKCJA 3. SKŁAD / INFORMACJA O SKŁADNIKACH</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Substancje: produkt jest mieszaniną</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Mieszanki:</w:t>
      </w:r>
    </w:p>
    <w:p>
      <w:pPr>
        <w:pStyle w:val="Normal"/>
        <w:spacing w:lineRule="auto" w:line="240" w:before="0" w:after="0"/>
        <w:rPr>
          <w:rFonts w:ascii="Arial Narrow" w:hAnsi="Arial Narrow"/>
          <w:sz w:val="20"/>
          <w:szCs w:val="20"/>
        </w:rPr>
      </w:pPr>
      <w:r>
        <w:rPr>
          <w:rFonts w:ascii="Arial Narrow" w:hAnsi="Arial Narrow"/>
          <w:sz w:val="20"/>
          <w:szCs w:val="20"/>
        </w:rPr>
        <w:t>Sucha mieszanka tynkarska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Produkt zawiera następujące substancje niebezpieczne: Cement portlandzki szary; wodorotlenek wapnia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2005"/>
        <w:gridCol w:w="2015"/>
        <w:gridCol w:w="1984"/>
        <w:gridCol w:w="2046"/>
        <w:gridCol w:w="2030"/>
      </w:tblGrid>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Nazwa chemiczna:</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Numer CAS: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Numer WE ( EINECS )</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Numer indeksu:</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Numer rejestracyjny:</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Zawartość w%</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Klasyfikacja zgodnie z dyrektywą 1999/45/WE</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Symbol ostrzegawczy, zwroty R</w:t>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Klasyfikacja zgodnie z rozporządzeniem (WE) 1272/2008: </w:t>
            </w:r>
            <w:r>
              <w:rPr>
                <w:rFonts w:ascii="Arial Narrow" w:hAnsi="Arial Narrow"/>
                <w:sz w:val="16"/>
                <w:szCs w:val="16"/>
              </w:rPr>
              <w:t>Kod klasy i kategoria zagrożenia zdanie H</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cement portlandzki</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irytujące,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uczulający,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Podrażnienie skóry.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Wodorotlenek wapnia</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irytujące,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uczulający,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Podrażnienie skóry.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Pełny tekst zwrotów R i H znajduje się w sekcji 16.</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SEKCJA 4. INSTRUKCJE PIERWSZEJ POMOCY</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Opis pierwszej pomocy</w:t>
      </w:r>
    </w:p>
    <w:p>
      <w:pPr>
        <w:pStyle w:val="Normal"/>
        <w:spacing w:lineRule="auto" w:line="240" w:before="0" w:after="0"/>
        <w:jc w:val="both"/>
        <w:rPr/>
      </w:pPr>
      <w:r>
        <w:rPr>
          <w:rFonts w:ascii="Arial Narrow" w:hAnsi="Arial Narrow"/>
          <w:b/>
          <w:sz w:val="20"/>
          <w:szCs w:val="20"/>
        </w:rPr>
        <w:t xml:space="preserve">Wskazówki ogólne: </w:t>
      </w:r>
      <w:r>
        <w:rPr>
          <w:rFonts w:ascii="Arial Narrow" w:hAnsi="Arial Narrow"/>
          <w:sz w:val="20"/>
          <w:szCs w:val="20"/>
        </w:rPr>
        <w:t>Natychmiastowa pomoc lekarska zwykle nie jest konieczna. Jeżeli po stosowaniu preparatu wystąpią problemy zdrowotne, w razie wątpliwości lub w przypadku utrzymujących się problemów, należy zwrócić się o pomoc lekarską i pokazać tę kartę lub etykietę. Zawsze należy zapewnić poszkodowanemu spokój i zapobiec przeziębieniu.</w:t>
      </w:r>
    </w:p>
    <w:p>
      <w:pPr>
        <w:pStyle w:val="Normal"/>
        <w:spacing w:lineRule="auto" w:line="240" w:before="0" w:after="0"/>
        <w:jc w:val="both"/>
        <w:rPr>
          <w:rFonts w:ascii="Arial Narrow" w:hAnsi="Arial Narrow"/>
          <w:sz w:val="20"/>
          <w:szCs w:val="20"/>
        </w:rPr>
      </w:pPr>
      <w:r>
        <w:rPr>
          <w:rFonts w:ascii="Arial Narrow" w:hAnsi="Arial Narrow"/>
          <w:sz w:val="20"/>
          <w:szCs w:val="20"/>
        </w:rPr>
        <w:t>Jeżeli poszkodowany jest nieprzytomny, ułożyć go w stabilnej pozycji na boku, z głową lekko odchyloną, bezwzględnie nie podawać niczego (płynów) doustnie. Osoby udzielające pierwszej pomocy nie potrzebują środków ochrony osobistej, powinny jednak unikać kontaktu z mokrą mieszaniną. Poinformuj lekarza o pierwszej pomocy.</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Podczas wdychania:</w:t>
      </w:r>
    </w:p>
    <w:p>
      <w:pPr>
        <w:pStyle w:val="Normal"/>
        <w:spacing w:lineRule="auto" w:line="240" w:before="0" w:after="0"/>
        <w:jc w:val="both"/>
        <w:rPr>
          <w:rFonts w:ascii="Arial Narrow" w:hAnsi="Arial Narrow"/>
          <w:sz w:val="20"/>
          <w:szCs w:val="20"/>
        </w:rPr>
      </w:pPr>
      <w:r>
        <w:rPr>
          <w:rFonts w:ascii="Arial Narrow" w:hAnsi="Arial Narrow"/>
          <w:sz w:val="20"/>
          <w:szCs w:val="20"/>
        </w:rPr>
        <w:t>Przerwać narażenie, wyprowadzić poszkodowanego na świeże powietrze. Kurz z gardła i jamy nosowej powinien samoistnie opuścić. Jeśli podrażnienie lub nudności, kaszel lub inne uporczywe objawy utrzymują się lub rozwijają się później, należy zwrócić się o pomoc lekarską.</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W kontakcie ze skórą:</w:t>
      </w:r>
    </w:p>
    <w:p>
      <w:pPr>
        <w:pStyle w:val="Normal"/>
        <w:spacing w:lineRule="auto" w:line="240" w:before="0" w:after="0"/>
        <w:rPr>
          <w:rFonts w:ascii="Arial Narrow" w:hAnsi="Arial Narrow"/>
          <w:sz w:val="20"/>
          <w:szCs w:val="20"/>
        </w:rPr>
      </w:pPr>
      <w:r>
        <w:rPr>
          <w:rFonts w:ascii="Arial Narrow" w:hAnsi="Arial Narrow"/>
          <w:sz w:val="20"/>
          <w:szCs w:val="20"/>
        </w:rPr>
        <w:t>Zdjąć zanieczyszczoną odzież, buty. Jeżeli mieszanina zaschła, należy ją usunąć ze skóry i spłukać dużą ilością wody. W przypadku mokrej mieszaniny skórę przemyć dużą ilością wody. W przypadku wystąpienia podrażnienia lub pieczenia skóry należy zwrócić się o pomoc lekarską.</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W przypadku kontaktu z oczami:</w:t>
      </w:r>
    </w:p>
    <w:p>
      <w:pPr>
        <w:pStyle w:val="Normal"/>
        <w:spacing w:lineRule="auto" w:line="240" w:before="0" w:after="0"/>
        <w:jc w:val="both"/>
        <w:rPr>
          <w:rFonts w:ascii="Arial Narrow" w:hAnsi="Arial Narrow"/>
          <w:sz w:val="20"/>
          <w:szCs w:val="20"/>
        </w:rPr>
      </w:pPr>
      <w:r>
        <w:rPr>
          <w:rFonts w:ascii="Arial Narrow" w:hAnsi="Arial Narrow"/>
          <w:sz w:val="20"/>
          <w:szCs w:val="20"/>
        </w:rPr>
        <w:t>Nie trzeć oczu, aby nie uszkodzić rogówki poprzez uszkodzenia mechaniczne. Zdjąć soczewki kontaktowe, jeżeli je noszą. Przechylić głowę na bok chorego oka, szeroko otworzyć powieki i natychmiast dokładnie przepłukać oko(-a) dużą ilością wody przez co najmniej 30 minut, aby usunąć wszystkie cząstki. Unikaj dostania się leku do chorego oka. Jeśli to możliwe, użyj wody izotonicznej (0,9% NaCl). Należy zgłosić się do specjalisty chorób zawodowych lub okulisty.</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Podczas picia:</w:t>
      </w:r>
    </w:p>
    <w:p>
      <w:pPr>
        <w:pStyle w:val="Normal"/>
        <w:spacing w:lineRule="auto" w:line="240" w:before="0" w:after="0"/>
        <w:rPr>
          <w:rFonts w:ascii="Arial Narrow" w:hAnsi="Arial Narrow"/>
          <w:sz w:val="20"/>
          <w:szCs w:val="20"/>
        </w:rPr>
      </w:pPr>
      <w:r>
        <w:rPr>
          <w:rFonts w:ascii="Arial Narrow" w:hAnsi="Arial Narrow"/>
          <w:sz w:val="20"/>
          <w:szCs w:val="20"/>
        </w:rPr>
        <w:t>Nie wywoływać wymiotów, przepłukać usta wodą, podać do wypicia dużą ilość wody. Należy zwrócić się o pomoc lekarską lub skontaktować się z Centrum Informacji Toksykologicznej.</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Najważniejsze ostre i opóźnione objawy oraz skutki</w:t>
      </w:r>
    </w:p>
    <w:p>
      <w:pPr>
        <w:pStyle w:val="Normal"/>
        <w:spacing w:lineRule="auto" w:line="240" w:before="0" w:after="0"/>
        <w:rPr>
          <w:rFonts w:ascii="Arial Narrow" w:hAnsi="Arial Narrow"/>
          <w:i/>
          <w:i/>
          <w:sz w:val="20"/>
          <w:szCs w:val="20"/>
        </w:rPr>
      </w:pPr>
      <w:r>
        <w:rPr>
          <w:rFonts w:ascii="Arial Narrow" w:hAnsi="Arial Narrow"/>
          <w:i/>
          <w:sz w:val="20"/>
          <w:szCs w:val="20"/>
        </w:rPr>
        <w:t>(efekty, które można założyć ze względu na skład mieszaniny)</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Kontakt ze skórą: Mieszanka cementowa może przy dłuższym kontakcie działać drażniąco na skórę (na wilgotną skórę, np. podczas pocenia się lub zwilżania skóry) lub przy powtarzającym się kontakcie powodować zapalenie skóry. Długotrwały kontakt skóry z mokrą mieszaniną może spowodować poważne oparzenia (wytrawienie), które początkowo rozwijają się bezboleśnie.</w:t>
      </w:r>
    </w:p>
    <w:p>
      <w:pPr>
        <w:pStyle w:val="Normal"/>
        <w:spacing w:lineRule="auto" w:line="240" w:before="0" w:after="0"/>
        <w:rPr>
          <w:rFonts w:ascii="Arial Narrow" w:hAnsi="Arial Narrow"/>
          <w:i/>
          <w:i/>
          <w:sz w:val="20"/>
          <w:szCs w:val="20"/>
        </w:rPr>
      </w:pPr>
      <w:r>
        <w:rPr>
          <w:rFonts w:ascii="Arial Narrow" w:hAnsi="Arial Narrow"/>
          <w:i/>
          <w:sz w:val="20"/>
          <w:szCs w:val="20"/>
        </w:rPr>
        <w:t>Kontakt z oczami: Kontakt oczu z mieszaniną cementu może spowodować poważne i potencjalnie nieodwracalne uszkodzenie oczu.</w:t>
      </w:r>
    </w:p>
    <w:p>
      <w:pPr>
        <w:pStyle w:val="Normal"/>
        <w:spacing w:lineRule="auto" w:line="240" w:before="0" w:after="0"/>
        <w:rPr>
          <w:rFonts w:ascii="Arial Narrow" w:hAnsi="Arial Narrow"/>
          <w:i/>
          <w:i/>
          <w:sz w:val="20"/>
          <w:szCs w:val="20"/>
        </w:rPr>
      </w:pPr>
      <w:r>
        <w:rPr>
          <w:rFonts w:ascii="Arial Narrow" w:hAnsi="Arial Narrow"/>
          <w:i/>
          <w:sz w:val="20"/>
          <w:szCs w:val="20"/>
        </w:rPr>
        <w:t>Wdychanie: Długotrwałe lub powtarzające się wdychanie zwiększa ryzyko rozwoju chorób płuc.</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Wskazania dotyczące wszelkiej natychmiastowej pomocy lekarskiej i specjalnego postępowania z poszkodowanym</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Podczas wizyty u lekarza należy zabrać ze sobą kartę charakterystyki.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SEKCJA 5. Środki ostrożności w przypadku pożaru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Gaśnica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Odpowiednie środki gaśnicze:</w:t>
      </w:r>
      <w:r>
        <w:rPr/>
        <w:t xml:space="preserve"> </w:t>
      </w:r>
      <w:r>
        <w:rPr>
          <w:rFonts w:ascii="Arial Narrow" w:hAnsi="Arial Narrow"/>
          <w:sz w:val="20"/>
          <w:szCs w:val="20"/>
        </w:rPr>
        <w:t>Produkt jest niepalny. Do gaszenia otaczających pożarów środek gaśniczy należy wybierać uwzględniając ochronę środowiska.</w:t>
      </w:r>
    </w:p>
    <w:p>
      <w:pPr>
        <w:pStyle w:val="Normal"/>
        <w:spacing w:lineRule="auto" w:line="240" w:before="0" w:after="0"/>
        <w:rPr/>
      </w:pPr>
      <w:r>
        <w:rPr>
          <w:rFonts w:ascii="Arial Narrow" w:hAnsi="Arial Narrow"/>
          <w:b/>
          <w:sz w:val="20"/>
          <w:szCs w:val="20"/>
        </w:rPr>
        <w:t xml:space="preserve">Niewłaściwe środki gaśnicze: </w:t>
      </w:r>
      <w:r>
        <w:rPr/>
        <w:t xml:space="preserve">Strumień wody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Szczególne bezpieczeństwo wynikające z substancji lub mieszaniny</w:t>
      </w:r>
    </w:p>
    <w:p>
      <w:pPr>
        <w:pStyle w:val="Normal"/>
        <w:spacing w:lineRule="auto" w:line="240" w:before="0" w:after="0"/>
        <w:rPr>
          <w:rFonts w:ascii="Arial Narrow" w:hAnsi="Arial Narrow"/>
          <w:sz w:val="20"/>
          <w:szCs w:val="20"/>
        </w:rPr>
      </w:pPr>
      <w:r>
        <w:rPr>
          <w:rFonts w:ascii="Arial Narrow" w:hAnsi="Arial Narrow"/>
          <w:sz w:val="20"/>
          <w:szCs w:val="20"/>
        </w:rPr>
        <w:t>Nie są znane. Mieszanka nie jest palna i wybuchowa, nie sprzyja spalaniu innych materiałów.</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Rady dla strażaków</w:t>
      </w:r>
    </w:p>
    <w:p>
      <w:pPr>
        <w:pStyle w:val="Normal"/>
        <w:spacing w:lineRule="auto" w:line="240" w:before="0" w:after="0"/>
        <w:rPr>
          <w:rFonts w:ascii="Arial Narrow" w:hAnsi="Arial Narrow"/>
          <w:sz w:val="20"/>
          <w:szCs w:val="20"/>
        </w:rPr>
      </w:pPr>
      <w:r>
        <w:rPr>
          <w:rFonts w:ascii="Arial Narrow" w:hAnsi="Arial Narrow"/>
          <w:sz w:val="20"/>
          <w:szCs w:val="20"/>
        </w:rPr>
        <w:t>Stosować niezależny aparat oddechowy i zazwyczaj sprzęt gaśniczy (unikać kontaktu ze skórą i oczami). Zapobiegać przedostawaniu się wody lub mieszaniny gaśniczej do kanałów ściekowych i dróg wodnych.</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SEKCJA 6. POSTĘPOWANIE W PRZYPADKU NIEZAMIERZONEGO UWOLNIENIA DO ŚRODOWISKA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Środki ochrony osobistej, sprzęt ochronny i procedury w sytuacjach awaryjnych</w:t>
      </w:r>
    </w:p>
    <w:p>
      <w:pPr>
        <w:pStyle w:val="Normal"/>
        <w:spacing w:lineRule="auto" w:line="240" w:before="0" w:after="0"/>
        <w:rPr>
          <w:rFonts w:ascii="Arial Narrow" w:hAnsi="Arial Narrow"/>
          <w:sz w:val="20"/>
          <w:szCs w:val="20"/>
        </w:rPr>
      </w:pPr>
      <w:r>
        <w:rPr>
          <w:rFonts w:ascii="Arial Narrow" w:hAnsi="Arial Narrow"/>
          <w:sz w:val="20"/>
          <w:szCs w:val="20"/>
        </w:rPr>
        <w:t>Nie dopuścić, aby osoby niezaangażowane w usuwanie skutków wycieku przemieszczały się do miejsc, w których mogą zostać skażone rozlanym produktem. Zapewnić wentylację pozbawioną przeciągów wewnątrz budynków. Podczas czyszczenia należy wybierać procedury, które nie zwiększają powstawania aerozolu pyłowego (patrz rozdział 6.3). W przypadku stosowania procedur na mokro nieoczyszczona podłoga lub podłoże może stać się śliska. Podczas pracy stosować zalecane środki ochrony indywidualnej (patrz sekcja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Środki ochrony środowiska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Zapobiegać wyciekom i rozprzestrzenianiu się rozlanego materiału. Jeśli to możliwe, utrzymuj materiał w suchości. Jeśli to możliwe, przykryj obszar, aby uniknąć niepotrzebnego zagrożenia pyłem. Zapobiegać niekontrolowanemu wyciekowi do dróg wodnych i ścieków (wzrost pH). Wszelkie większe wycieki do dróg wodnych należy zgłaszać Agencji Środowiska lub innemu odpowiedzialnemu organowi.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Metody i materiały zapobiegające rozprzestrzenianiu się skażenia i służące do usuwania skażenia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Rozsypany, suchy materiał zebrać mechanicznie i jeżeli nie jest zanieczyszczony wykorzystać go ponownie. Stosuj metody czyszczenia na sucho, takie jak odkurzanie lub odkurzanie (przy użyciu filtrów powietrza). Nie używaj sprężonego powietrza.</w:t>
      </w:r>
    </w:p>
    <w:p>
      <w:pPr>
        <w:pStyle w:val="Normal"/>
        <w:spacing w:lineRule="auto" w:line="240" w:before="0" w:after="0"/>
        <w:rPr>
          <w:rFonts w:ascii="Arial Narrow" w:hAnsi="Arial Narrow"/>
          <w:sz w:val="20"/>
          <w:szCs w:val="20"/>
        </w:rPr>
      </w:pPr>
      <w:r>
        <w:rPr>
          <w:rFonts w:ascii="Arial Narrow" w:hAnsi="Arial Narrow"/>
          <w:sz w:val="20"/>
          <w:szCs w:val="20"/>
        </w:rPr>
        <w:t>Można także zastosować czyszczenie na mokro (spryskaj wodą lub mgłą), zapobiec wzbijaniu się kurzu, wytrzeć kurz i usunąć powstały osad. Usuń mokrą mieszaninę w ten sam sposób. Poczekać, aż osad stwardnieje i usunąć go zgodnie z sekcją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Odniesienia do innych części</w:t>
      </w:r>
    </w:p>
    <w:p>
      <w:pPr>
        <w:pStyle w:val="Normal"/>
        <w:spacing w:lineRule="auto" w:line="240" w:before="0" w:after="0"/>
        <w:rPr>
          <w:rFonts w:ascii="Arial Narrow" w:hAnsi="Arial Narrow"/>
          <w:sz w:val="20"/>
          <w:szCs w:val="20"/>
        </w:rPr>
      </w:pPr>
      <w:r>
        <w:rPr>
          <w:rFonts w:ascii="Arial Narrow" w:hAnsi="Arial Narrow"/>
          <w:sz w:val="20"/>
          <w:szCs w:val="20"/>
        </w:rPr>
        <w:t>Patrz sekcja 8 dotycząca środków ochrony indywidualnej.</w:t>
      </w:r>
    </w:p>
    <w:p>
      <w:pPr>
        <w:pStyle w:val="Normal"/>
        <w:spacing w:lineRule="auto" w:line="240" w:before="0" w:after="0"/>
        <w:rPr>
          <w:rFonts w:ascii="Arial Narrow" w:hAnsi="Arial Narrow"/>
          <w:sz w:val="20"/>
          <w:szCs w:val="20"/>
        </w:rPr>
      </w:pPr>
      <w:r>
        <w:rPr>
          <w:rFonts w:ascii="Arial Narrow" w:hAnsi="Arial Narrow"/>
          <w:sz w:val="20"/>
          <w:szCs w:val="20"/>
        </w:rPr>
        <w:t>Patrz sekcja 13 dotycząca usuwania odpadów.</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SEKCJA 7. OBSŁUGA I MAGAZYNOWANIE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Środki ostrożności dotyczące bezpiecznego postępowania</w:t>
      </w:r>
    </w:p>
    <w:p>
      <w:pPr>
        <w:pStyle w:val="Normal"/>
        <w:spacing w:lineRule="auto" w:line="240" w:before="0" w:after="0"/>
        <w:jc w:val="both"/>
        <w:rPr>
          <w:rFonts w:ascii="Arial Narrow" w:hAnsi="Arial Narrow"/>
          <w:sz w:val="20"/>
          <w:szCs w:val="20"/>
        </w:rPr>
      </w:pPr>
      <w:r>
        <w:rPr>
          <w:rFonts w:ascii="Arial Narrow" w:hAnsi="Arial Narrow"/>
          <w:sz w:val="20"/>
          <w:szCs w:val="20"/>
        </w:rPr>
        <w:t>Przeczytaj instrukcję użytkowania. Podczas pracy z suchą mieszanką nie wdychać pyłu, pracować w dobrze wentylowanych pomieszczeniach, stosować sprzęt ochronny chroniący przed wdychaniem pyłu (patrz p. 8). Podczas pracy z suchą lub mokrą mieszaniną należy unikać kontaktu z oczami i skórą, stosując środki ochrony osobistej (patrz sekcja 8).</w:t>
      </w:r>
    </w:p>
    <w:p>
      <w:pPr>
        <w:pStyle w:val="Normal"/>
        <w:spacing w:lineRule="auto" w:line="240" w:before="0" w:after="0"/>
        <w:jc w:val="both"/>
        <w:rPr>
          <w:rFonts w:ascii="Arial Narrow" w:hAnsi="Arial Narrow"/>
          <w:sz w:val="20"/>
          <w:szCs w:val="20"/>
        </w:rPr>
      </w:pPr>
      <w:r>
        <w:rPr>
          <w:rFonts w:ascii="Arial Narrow" w:hAnsi="Arial Narrow"/>
          <w:sz w:val="20"/>
          <w:szCs w:val="20"/>
        </w:rPr>
        <w:t>Narzędzia robocze w miejscach, w których mają kontakt z rękami, należy utrzymywać w czystości. Odzież robocza i sprzęt ochronny zabrudzony w stopniu, w którym mieszanina przedostanie się przez powierzchnię skóry lub przedostanie się wilgoci do wnętrza sprzętu ochronnego lub odzieży roboczej, należy jak najszybciej wymienić na czyste i suche.</w:t>
      </w:r>
    </w:p>
    <w:p>
      <w:pPr>
        <w:pStyle w:val="Normal"/>
        <w:spacing w:lineRule="auto" w:line="240" w:before="0" w:after="0"/>
        <w:jc w:val="both"/>
        <w:rPr>
          <w:rFonts w:ascii="Arial Narrow" w:hAnsi="Arial Narrow"/>
          <w:sz w:val="20"/>
          <w:szCs w:val="20"/>
        </w:rPr>
      </w:pPr>
      <w:r>
        <w:rPr>
          <w:rFonts w:ascii="Arial Narrow" w:hAnsi="Arial Narrow"/>
          <w:sz w:val="20"/>
          <w:szCs w:val="20"/>
        </w:rPr>
        <w:t>Podczas pracy nie jeść, nie pić i nie palić, przestrzegać ogólnych zasad bezpieczeństwa i higieny pracy z chemikaliami.</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7.2 Instrukcje bezpiecznego przechowywania substancji i mieszanin, z uwzględnieniem wszelkich niezgodności</w:t>
      </w:r>
    </w:p>
    <w:p>
      <w:pPr>
        <w:pStyle w:val="Normal"/>
        <w:spacing w:lineRule="auto" w:line="240" w:before="0" w:after="0"/>
        <w:jc w:val="both"/>
        <w:rPr>
          <w:rFonts w:ascii="Arial Narrow" w:hAnsi="Arial Narrow"/>
          <w:sz w:val="20"/>
          <w:szCs w:val="20"/>
        </w:rPr>
      </w:pPr>
      <w:r>
        <w:rPr>
          <w:rFonts w:ascii="Arial Narrow" w:hAnsi="Arial Narrow"/>
          <w:sz w:val="20"/>
          <w:szCs w:val="20"/>
        </w:rPr>
        <w:t>Przechowywać w oryginalnie zamkniętych opakowaniach, w suchym miejscu, chronić przed wilgocią, oddzielnie od żywności, napojów i pasz. Ewentualne zamrożenie produktu nie ma wpływu na jego funkcjonalność. Przechowywać w miejscu niedostępnym dla dzieci.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Szczególne zastosowanie końcowe / Szczególne zastosowanie końcowe</w:t>
      </w:r>
    </w:p>
    <w:p>
      <w:pPr>
        <w:pStyle w:val="Normal"/>
        <w:spacing w:lineRule="auto" w:line="240" w:before="0" w:after="0"/>
        <w:rPr>
          <w:rFonts w:ascii="Arial Narrow" w:hAnsi="Arial Narrow"/>
          <w:sz w:val="20"/>
          <w:szCs w:val="20"/>
        </w:rPr>
      </w:pPr>
      <w:r>
        <w:rPr>
          <w:rFonts w:ascii="Arial Narrow" w:hAnsi="Arial Narrow"/>
          <w:sz w:val="20"/>
          <w:szCs w:val="20"/>
        </w:rPr>
        <w:t>nie jest o tym mowa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SEKCJA 8. KONTROLA NARAŻENIA/ŚRODKI OCHRONY INDYWIDUALNEJ</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Parametry kontrolne</w:t>
      </w:r>
    </w:p>
    <w:p>
      <w:pPr>
        <w:pStyle w:val="Normal"/>
        <w:spacing w:lineRule="auto" w:line="240" w:before="0" w:after="0"/>
        <w:jc w:val="both"/>
        <w:rPr/>
      </w:pPr>
      <w:r>
        <w:rPr>
          <w:rFonts w:ascii="Arial Narrow" w:hAnsi="Arial Narrow"/>
          <w:sz w:val="20"/>
          <w:szCs w:val="20"/>
        </w:rPr>
        <w:t xml:space="preserve">Mieszanka zawiera substancje, dla których w Republice Słowackiej określone są najwyższe dopuszczalne stężenia w atmosferze pracy, zgodnie z rozporządzeniem rządu nr. 361/2007 Sb., z późn . zm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Nazwa chemiczna</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Numer CAS</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notatka</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cement portlandzki</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Wodorotlenek wapnia</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Dopuszczalne wartości narażenia w miejscu pracy zgodnie z dyrektywą nr. 2006/15/WE – nie wymienione</w:t>
      </w:r>
    </w:p>
    <w:p>
      <w:pPr>
        <w:pStyle w:val="Normal"/>
        <w:spacing w:lineRule="auto" w:line="240" w:before="0" w:after="0"/>
        <w:rPr>
          <w:rFonts w:ascii="Arial Narrow" w:hAnsi="Arial Narrow"/>
          <w:b/>
          <w:b/>
          <w:sz w:val="20"/>
          <w:szCs w:val="20"/>
        </w:rPr>
      </w:pPr>
      <w:r>
        <w:rPr>
          <w:rFonts w:ascii="Arial Narrow" w:hAnsi="Arial Narrow"/>
          <w:b/>
          <w:sz w:val="20"/>
          <w:szCs w:val="20"/>
        </w:rPr>
        <w:t>Wartości dopuszczalne wskaźników badań narażenia biologicznego nie są określone w rozporządzeniu nr. 432/2003 Zb.</w:t>
      </w:r>
    </w:p>
    <w:p>
      <w:pPr>
        <w:pStyle w:val="Normal"/>
        <w:spacing w:lineRule="auto" w:line="240" w:before="0" w:after="0"/>
        <w:rPr/>
      </w:pPr>
      <w:r>
        <w:rPr>
          <w:rFonts w:ascii="Arial Narrow" w:hAnsi="Arial Narrow"/>
          <w:b/>
          <w:sz w:val="20"/>
          <w:szCs w:val="20"/>
        </w:rPr>
        <w:t xml:space="preserve">Wartości DNEL i PNEC: </w:t>
      </w:r>
      <w:r>
        <w:rPr>
          <w:rFonts w:ascii="Arial Narrow" w:hAnsi="Arial Narrow"/>
          <w:sz w:val="20"/>
          <w:szCs w:val="20"/>
        </w:rPr>
        <w:t>jeszcze niedostępne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Ograniczanie ekspozycji</w:t>
      </w:r>
    </w:p>
    <w:p>
      <w:pPr>
        <w:pStyle w:val="Normal"/>
        <w:spacing w:lineRule="auto" w:line="240" w:before="0" w:after="0"/>
        <w:jc w:val="both"/>
        <w:rPr>
          <w:rFonts w:ascii="Arial Narrow" w:hAnsi="Arial Narrow"/>
          <w:sz w:val="20"/>
          <w:szCs w:val="20"/>
        </w:rPr>
      </w:pPr>
      <w:r>
        <w:rPr>
          <w:rFonts w:ascii="Arial Narrow" w:hAnsi="Arial Narrow"/>
          <w:sz w:val="20"/>
          <w:szCs w:val="20"/>
        </w:rPr>
        <w:t>Aby ograniczyć narażenie, należy zapobiegać tworzeniu się pyłu. Ponadto zaleca się stosowanie odpowiedniego sprzętu ochronnego. Należy stosować środki ochrony oczu (np. okulary ochronne lub osłonę twarzy), jeżeli charakter i rodzaj zastosowania nie wyklucza potencjalnego kontaktu z oczami (np. proces zamknięty), dodatkową ochronę twarzy, odzież ochronną i obuwie ochronne.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Odpowiednie środki techniczne</w:t>
      </w:r>
    </w:p>
    <w:p>
      <w:pPr>
        <w:pStyle w:val="Normal"/>
        <w:spacing w:lineRule="auto" w:line="240" w:before="0" w:after="0"/>
        <w:rPr>
          <w:rFonts w:ascii="Arial Narrow" w:hAnsi="Arial Narrow"/>
          <w:sz w:val="20"/>
          <w:szCs w:val="20"/>
        </w:rPr>
      </w:pPr>
      <w:r>
        <w:rPr>
          <w:rFonts w:ascii="Arial Narrow" w:hAnsi="Arial Narrow"/>
          <w:sz w:val="20"/>
          <w:szCs w:val="20"/>
        </w:rPr>
        <w:t>Zapewnić odpowiednią wentylację miejsca pracy. Lub wentylacja. Jeśli nie jest to możliwe, należy stosować środki ochrony osobistej chroniące drogi oddechowe. Obchodzenie się z suchymi mieszankami i czyszczenie miejsca pracy muszą być zapewnione przy użyciu technik, które nie zwiększają stężenia pyłu w atmosferze pracy. Przy pracy suchymi mieszankami na zewnątrz obiektów budowlanych należy w przypadku wiatru przemieszczać się od miejsca przedostania się cząstek pyłu do powietrza w kierunku przeciwnym do kierunku przepływu wiatru. W przypadku możliwości kontaktu z oczami podczas stosowania produktu, zaleca się zapewnienie źródła wody w zasięgu ręki w celu szybkiego przemycia oczu.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Indywidualne środki ochrony, w tym środki ochrony indywidualnej</w:t>
      </w:r>
    </w:p>
    <w:p>
      <w:pPr>
        <w:pStyle w:val="Normal"/>
        <w:spacing w:lineRule="auto" w:line="240" w:before="0" w:after="0"/>
        <w:rPr>
          <w:rFonts w:ascii="Arial Narrow" w:hAnsi="Arial Narrow"/>
          <w:b/>
          <w:b/>
          <w:sz w:val="20"/>
          <w:szCs w:val="20"/>
        </w:rPr>
      </w:pPr>
      <w:r>
        <w:rPr>
          <w:rFonts w:ascii="Arial Narrow" w:hAnsi="Arial Narrow"/>
          <w:b/>
          <w:sz w:val="20"/>
          <w:szCs w:val="20"/>
        </w:rPr>
        <w:t>a) Ochrona dróg oddechowych</w:t>
      </w:r>
    </w:p>
    <w:p>
      <w:pPr>
        <w:pStyle w:val="Normal"/>
        <w:spacing w:lineRule="auto" w:line="240" w:before="0" w:after="0"/>
        <w:rPr>
          <w:rFonts w:ascii="Arial Narrow" w:hAnsi="Arial Narrow"/>
          <w:sz w:val="20"/>
          <w:szCs w:val="20"/>
        </w:rPr>
      </w:pPr>
      <w:r>
        <w:rPr>
          <w:rFonts w:ascii="Arial Narrow" w:hAnsi="Arial Narrow"/>
          <w:sz w:val="20"/>
          <w:szCs w:val="20"/>
        </w:rPr>
        <w:t>Przy otwieraniu opakowania z suchą mieszanką, przy jej wysypywaniu z opakowania lub przy przesypywaniu suchej mieszanki do pojemników roboczych oraz w początkowej fazie dodawania do suchej mieszanki wody zarobowej należy stosować maskę lub respirator z filtr przeciwpyłowy o współczynniku ochrony co najmniej 10.</w:t>
      </w:r>
    </w:p>
    <w:p>
      <w:pPr>
        <w:pStyle w:val="Normal"/>
        <w:spacing w:lineRule="auto" w:line="240" w:before="0" w:after="0"/>
        <w:rPr>
          <w:rFonts w:ascii="Arial Narrow" w:hAnsi="Arial Narrow"/>
          <w:b/>
          <w:b/>
          <w:sz w:val="20"/>
          <w:szCs w:val="20"/>
        </w:rPr>
      </w:pPr>
      <w:r>
        <w:rPr>
          <w:rFonts w:ascii="Arial Narrow" w:hAnsi="Arial Narrow"/>
          <w:b/>
          <w:sz w:val="20"/>
          <w:szCs w:val="20"/>
        </w:rPr>
        <w:t>b) Ochrona oczu i twarzy</w:t>
      </w:r>
    </w:p>
    <w:p>
      <w:pPr>
        <w:pStyle w:val="Normal"/>
        <w:spacing w:lineRule="auto" w:line="240" w:before="0" w:after="0"/>
        <w:jc w:val="both"/>
        <w:rPr>
          <w:rFonts w:ascii="Arial Narrow" w:hAnsi="Arial Narrow"/>
          <w:sz w:val="20"/>
          <w:szCs w:val="20"/>
        </w:rPr>
      </w:pPr>
      <w:r>
        <w:rPr>
          <w:rFonts w:ascii="Arial Narrow" w:hAnsi="Arial Narrow"/>
          <w:sz w:val="20"/>
          <w:szCs w:val="20"/>
        </w:rPr>
        <w:t>Jeżeli podczas pracy z suchą mieszanką nie jest używana maska całotwarzowa, należy nosić szczelne okulary ochronne, aby zapobiec przedostawaniu się cząstek pyłu do oczu. Stosowanie okularów ochronnych wymagane jest także przy pracy z mokrą zaprawą lub klejem, gdzie istnieje ryzyko rozpryskiwania się materiału. Zwłaszcza podczas rzucania lub nakładania zaprawy powyżej poziomu głowy.</w:t>
      </w:r>
    </w:p>
    <w:p>
      <w:pPr>
        <w:pStyle w:val="Normal"/>
        <w:spacing w:lineRule="auto" w:line="240" w:before="0" w:after="0"/>
        <w:jc w:val="both"/>
        <w:rPr>
          <w:rFonts w:ascii="Arial Narrow" w:hAnsi="Arial Narrow"/>
          <w:b/>
          <w:b/>
          <w:sz w:val="20"/>
          <w:szCs w:val="20"/>
        </w:rPr>
      </w:pPr>
      <w:r>
        <w:rPr>
          <w:rFonts w:ascii="Arial Narrow" w:hAnsi="Arial Narrow"/>
          <w:b/>
          <w:sz w:val="20"/>
          <w:szCs w:val="20"/>
        </w:rPr>
        <w:t>c) Ochrona skóry</w:t>
      </w:r>
    </w:p>
    <w:p>
      <w:pPr>
        <w:pStyle w:val="Normal"/>
        <w:spacing w:lineRule="auto" w:line="240" w:before="0" w:after="0"/>
        <w:jc w:val="both"/>
        <w:rPr>
          <w:rFonts w:ascii="Arial Narrow" w:hAnsi="Arial Narrow"/>
          <w:sz w:val="20"/>
          <w:szCs w:val="20"/>
        </w:rPr>
      </w:pPr>
      <w:r>
        <w:rPr>
          <w:rFonts w:ascii="Arial Narrow" w:hAnsi="Arial Narrow"/>
          <w:sz w:val="20"/>
          <w:szCs w:val="20"/>
        </w:rPr>
        <w:t>Ponieważ zarówno suche, jak i mokre mieszaniny podrażniają skórę, narażenie należy minimalizować na tyle, na ile jest to technicznie możliwe. Praca wymaga stosowania rękawic ochronnych, standardowej całodobowej odzieży ochronnej z obcisłymi rękawami i spodniami, uniemożliwiającymi wnikanie pyłu oraz noszenia obuwia odpornego na żrące i pyłoszczelne.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b/>
          <w:sz w:val="20"/>
          <w:szCs w:val="20"/>
        </w:rPr>
        <w:t>8.2.3 Ograniczanie zanieczyszczeń środowiska</w:t>
      </w:r>
    </w:p>
    <w:p>
      <w:pPr>
        <w:pStyle w:val="Normal"/>
        <w:spacing w:lineRule="auto" w:line="240" w:before="0" w:after="0"/>
        <w:rPr>
          <w:rFonts w:ascii="Arial Narrow" w:hAnsi="Arial Narrow"/>
          <w:sz w:val="20"/>
          <w:szCs w:val="20"/>
        </w:rPr>
      </w:pPr>
      <w:r>
        <w:rPr>
          <w:rFonts w:ascii="Arial Narrow" w:hAnsi="Arial Narrow"/>
          <w:sz w:val="20"/>
          <w:szCs w:val="20"/>
        </w:rPr>
        <w:t>Upewnij się, że opakowanie jest zamknięte podczas przechowywania, przenoszenia i transportu. Zabezpieczyć miejsca magazynowania przed możliwością przedostania się produktu do otaczającego środowiska (do ścieków, wody i gleby - patrz 6.2. Możliwość wycieku produktu. Nie spłukiwać do ścieków i dróg wodnych. Wartość pH wody zanieczyszczonej produktem, która w dużych ilościach może przedostać się do kanalizacji, nie powinna przekraczać 9.</w:t>
      </w:r>
    </w:p>
    <w:p>
      <w:pPr>
        <w:pStyle w:val="Normal"/>
        <w:spacing w:lineRule="auto" w:line="240" w:before="0" w:after="0"/>
        <w:rPr>
          <w:rFonts w:ascii="Arial Narrow" w:hAnsi="Arial Narrow"/>
          <w:sz w:val="20"/>
          <w:szCs w:val="20"/>
        </w:rPr>
      </w:pPr>
      <w:r>
        <w:rPr>
          <w:rFonts w:ascii="Arial Narrow" w:hAnsi="Arial Narrow"/>
          <w:sz w:val="20"/>
          <w:szCs w:val="20"/>
        </w:rPr>
        <w:t>Wyposaż miejsce pracy i magazyny w środki umożliwiające usunięcie przypadkowego wycieku.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SEKCJA 9. WŁAŚCIWOŚCI FIZYCZNE I CHEMICZNE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Stan skupienia: </w:t>
        <w:tab/>
        <w:tab/>
        <w:tab/>
        <w:t>sypkie ciało stałe, proszek</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Kolor: </w:t>
        <w:tab/>
        <w:tab/>
        <w:tab/>
        <w:tab/>
        <w:t>szary i biały</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Zapach: </w:t>
        <w:tab/>
        <w:tab/>
        <w:tab/>
        <w:tab/>
        <w:t>bezwonny</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Wartość pH: </w:t>
        <w:tab/>
        <w:tab/>
        <w:tab/>
        <w:t>nieznana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Temperatura topnienia/krzepnięcia </w:t>
        <w:tab/>
        <w:tab/>
        <w:t>nieznana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Temperatura wrzenia: </w:t>
        <w:tab/>
        <w:tab/>
        <w:tab/>
        <w:tab/>
        <w:t>nieznana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Temperatura zapłonu: </w:t>
        <w:tab/>
        <w:tab/>
        <w:tab/>
        <w:t>nieznana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Szybkość parowania: </w:t>
        <w:tab/>
        <w:tab/>
        <w:tab/>
        <w:t>nieznana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Palność: </w:t>
        <w:tab/>
        <w:tab/>
        <w:tab/>
        <w:tab/>
        <w:t>nieznana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Właściwości wybuchowe: </w:t>
        <w:tab/>
        <w:tab/>
        <w:tab/>
        <w:t>nie jest wybuchowy, górna granica - nieznana, dolna granica - nieznana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Właściwości utleniające: </w:t>
        <w:tab/>
        <w:tab/>
        <w:tab/>
        <w:t>nieznane</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Prężność par: </w:t>
        <w:tab/>
        <w:tab/>
        <w:tab/>
        <w:tab/>
        <w:t>nieznana</w:t>
      </w:r>
    </w:p>
    <w:p>
      <w:pPr>
        <w:pStyle w:val="Normal"/>
        <w:spacing w:lineRule="auto" w:line="240" w:before="0" w:after="0"/>
        <w:ind w:left="567" w:hanging="0"/>
        <w:rPr/>
      </w:pPr>
      <w:r>
        <w:rPr>
          <w:rFonts w:ascii="Arial Narrow" w:hAnsi="Arial Narrow"/>
          <w:sz w:val="20"/>
          <w:szCs w:val="20"/>
        </w:rPr>
        <w:t xml:space="preserve">Gęstość względna (w 18 </w:t>
      </w:r>
      <w:r>
        <w:rPr>
          <w:rFonts w:ascii="Arial Narrow" w:hAnsi="Arial Narrow"/>
          <w:sz w:val="20"/>
          <w:szCs w:val="20"/>
          <w:vertAlign w:val="superscript"/>
        </w:rPr>
        <w:t xml:space="preserve">o </w:t>
      </w:r>
      <w:r>
        <w:rPr>
          <w:rFonts w:ascii="Arial Narrow" w:hAnsi="Arial Narrow"/>
          <w:sz w:val="20"/>
          <w:szCs w:val="20"/>
        </w:rPr>
        <w:t xml:space="preserve">C): </w:t>
        <w:tab/>
        <w:tab/>
        <w:t>nieznana</w:t>
      </w:r>
    </w:p>
    <w:p>
      <w:pPr>
        <w:pStyle w:val="Normal"/>
        <w:spacing w:lineRule="auto" w:line="240" w:before="0" w:after="0"/>
        <w:ind w:left="567" w:hanging="0"/>
        <w:rPr/>
      </w:pPr>
      <w:r>
        <w:rPr>
          <w:rFonts w:ascii="Arial Narrow" w:hAnsi="Arial Narrow"/>
          <w:sz w:val="20"/>
          <w:szCs w:val="20"/>
        </w:rPr>
        <w:t xml:space="preserve">Rozpuszczalność w wodzie (w 18 </w:t>
      </w:r>
      <w:r>
        <w:rPr>
          <w:rFonts w:ascii="Arial Narrow" w:hAnsi="Arial Narrow"/>
          <w:sz w:val="20"/>
          <w:szCs w:val="20"/>
          <w:vertAlign w:val="superscript"/>
        </w:rPr>
        <w:t xml:space="preserve">o </w:t>
      </w:r>
      <w:r>
        <w:rPr>
          <w:rFonts w:ascii="Arial Narrow" w:hAnsi="Arial Narrow"/>
          <w:sz w:val="20"/>
          <w:szCs w:val="20"/>
        </w:rPr>
        <w:t xml:space="preserve">C): </w:t>
        <w:tab/>
        <w:t>Słabo rozpuszczalny w wodzie</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Rozpuszczalność w tłuszczach: </w:t>
        <w:tab/>
        <w:tab/>
        <w:t>nieznana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Współczynnik podziału n-oktanol/woda: </w:t>
        <w:tab/>
        <w:t>nieznany</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Lepkość: </w:t>
        <w:tab/>
        <w:tab/>
        <w:tab/>
        <w:tab/>
        <w:t>nieznana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Gęstość par: </w:t>
        <w:tab/>
        <w:tab/>
        <w:tab/>
        <w:t>nieznana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Szybkość parowania: </w:t>
        <w:tab/>
        <w:tab/>
        <w:t>nieznana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SEKCJA 10. STABILNOŚĆ I REAKTYWNOŚĆ</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Reaktywność</w:t>
      </w:r>
    </w:p>
    <w:p>
      <w:pPr>
        <w:pStyle w:val="Normal"/>
        <w:spacing w:lineRule="auto" w:line="240" w:before="0" w:after="0"/>
        <w:rPr>
          <w:rFonts w:ascii="Arial Narrow" w:hAnsi="Arial Narrow"/>
          <w:sz w:val="20"/>
          <w:szCs w:val="20"/>
        </w:rPr>
      </w:pPr>
      <w:r>
        <w:rPr>
          <w:rFonts w:ascii="Arial Narrow" w:hAnsi="Arial Narrow"/>
          <w:sz w:val="20"/>
          <w:szCs w:val="20"/>
        </w:rPr>
        <w:t>Po zmieszaniu z wodą tworzy się silnie zasadowa mieszanina, która stopniowo twardnieje. Po stwardnieniu całej mieszaniny powstaje stabilna masa.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Stabilność chemiczna</w:t>
      </w:r>
    </w:p>
    <w:p>
      <w:pPr>
        <w:pStyle w:val="Normal"/>
        <w:spacing w:lineRule="auto" w:line="240" w:before="0" w:after="0"/>
        <w:jc w:val="both"/>
        <w:rPr>
          <w:rFonts w:ascii="Arial Narrow" w:hAnsi="Arial Narrow"/>
          <w:sz w:val="20"/>
          <w:szCs w:val="20"/>
        </w:rPr>
      </w:pPr>
      <w:r>
        <w:rPr>
          <w:rFonts w:ascii="Arial Narrow" w:hAnsi="Arial Narrow"/>
          <w:sz w:val="20"/>
          <w:szCs w:val="20"/>
        </w:rPr>
        <w:t>W normalnych warunkach produkt jest stabilny, jeśli jest przechowywany i stosowany zgodnie z zaleceniami. Chronić mieszaninę przed działaniem wody i wilgoci powietrza. Rozkład nie następuje. Utrzymuj produkt w suchości. Konieczne jest wykluczenie kontaktu z materiałami niezgodnymi.</w:t>
      </w:r>
    </w:p>
    <w:p>
      <w:pPr>
        <w:pStyle w:val="Normal"/>
        <w:spacing w:lineRule="auto" w:line="240" w:before="0" w:after="0"/>
        <w:jc w:val="both"/>
        <w:rPr>
          <w:rFonts w:ascii="Arial Narrow" w:hAnsi="Arial Narrow"/>
          <w:sz w:val="20"/>
          <w:szCs w:val="20"/>
        </w:rPr>
      </w:pPr>
      <w:r>
        <w:rPr>
          <w:rFonts w:ascii="Arial Narrow" w:hAnsi="Arial Narrow"/>
          <w:sz w:val="20"/>
          <w:szCs w:val="20"/>
        </w:rPr>
        <w:t>Mokra mieszanina jest alkaliczna/alkaliczna i reaguje z kwasami, solami amonowymi, aluminium i innymi metalami nieszlachetnymi. Cement portlandzki rozpuszcza się w kwasie fluorowodorowym, tworząc żrący gazowy tetrafluorek krzemu. Cementy portlandzkie reagują z wodą tworząc krzemiany i wodorotlenek wapnia. Krzemiany w cementach reagują z silnymi środkami utleniającymi, takimi jak fluor, fluorek boru, fluorek chloru, fluorek manganu i difluorek tlenu.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Możliwość występowania niebezpiecznych reakcji</w:t>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Należy unikać niekontrolowanego stosowania proszku aluminiowego, gdyż podczas reakcji z cementem i wodorotlenkiem wapnia powstaje/wydziela się wodór. Wodorotlenek wapnia reaguje egzotermicznie z kwasami. Po podgrzaniu powyżej 580°C wodorotlenek wapnia rozkłada się tworząc tlenek wapnia (CaO) i wodę (H2O): Ca (OH) 2 -&gt; CaO + H2O. Tlenek wapnia reaguje z wodą, wytwarzając ciepło. Może to być niebezpieczne dla materiałów łatwopalnych.</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10.4 Warunki, których należy unikać:</w:t>
      </w:r>
    </w:p>
    <w:p>
      <w:pPr>
        <w:pStyle w:val="Normal"/>
        <w:spacing w:lineRule="auto" w:line="240" w:before="0" w:after="0"/>
        <w:rPr>
          <w:rFonts w:ascii="Arial Narrow" w:hAnsi="Arial Narrow"/>
          <w:sz w:val="20"/>
          <w:szCs w:val="20"/>
        </w:rPr>
      </w:pPr>
      <w:r>
        <w:rPr>
          <w:rFonts w:ascii="Arial Narrow" w:hAnsi="Arial Narrow"/>
          <w:sz w:val="20"/>
          <w:szCs w:val="20"/>
        </w:rPr>
        <w:t>Podczas przechowywania minimalizuj narażenie na działanie powietrza i wilgoci, które mogą powodować utratę jakości produktu (zbrylanie)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10.5 Materiały niezgodne</w:t>
      </w:r>
    </w:p>
    <w:p>
      <w:pPr>
        <w:pStyle w:val="Normal"/>
        <w:spacing w:lineRule="auto" w:line="240" w:before="0" w:after="0"/>
        <w:rPr>
          <w:rFonts w:ascii="Arial Narrow" w:hAnsi="Arial Narrow"/>
          <w:sz w:val="20"/>
          <w:szCs w:val="20"/>
        </w:rPr>
      </w:pPr>
      <w:r>
        <w:rPr>
          <w:rFonts w:ascii="Arial Narrow" w:hAnsi="Arial Narrow"/>
          <w:sz w:val="20"/>
          <w:szCs w:val="20"/>
        </w:rPr>
        <w:t>Kwasy, sole amonowe, aluminium i inne metale nieszlachetne.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 xml:space="preserve">10.6 Niebezpieczne produkty rozkładu: </w:t>
      </w:r>
      <w:r>
        <w:rPr>
          <w:rFonts w:ascii="Arial Narrow" w:hAnsi="Arial Narrow"/>
          <w:sz w:val="20"/>
          <w:szCs w:val="20"/>
        </w:rPr>
        <w:t>wyrzucić</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SEKCJA 11. INFORMACJE TOKSYKOLOGICZNE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Informacje dotyczące skutków toksykologicznych:</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Ludzkie doświadczenie:</w:t>
      </w:r>
    </w:p>
    <w:p>
      <w:pPr>
        <w:pStyle w:val="Normal"/>
        <w:spacing w:lineRule="auto" w:line="240" w:before="0" w:after="0"/>
        <w:rPr>
          <w:rFonts w:ascii="Arial Narrow" w:hAnsi="Arial Narrow"/>
          <w:sz w:val="20"/>
          <w:szCs w:val="20"/>
        </w:rPr>
      </w:pPr>
      <w:r>
        <w:rPr>
          <w:rFonts w:ascii="Arial Narrow" w:hAnsi="Arial Narrow"/>
          <w:sz w:val="20"/>
          <w:szCs w:val="20"/>
        </w:rPr>
        <w:t>Mieszając mieszaninę z wodą lub z wilgocią tworzy silnie zasadową mieszaninę o działaniu drażniącym. Produkt w postaci pyłu oraz po zmieszaniu z wodą działa drażniąco na spojówki i skórę. Pył może powodować podrażnienie dróg oddechowych.</w:t>
      </w:r>
    </w:p>
    <w:p>
      <w:pPr>
        <w:pStyle w:val="Normal"/>
        <w:spacing w:lineRule="auto" w:line="240" w:before="0" w:after="0"/>
        <w:rPr>
          <w:rFonts w:ascii="Arial Narrow" w:hAnsi="Arial Narrow"/>
          <w:sz w:val="20"/>
          <w:szCs w:val="20"/>
        </w:rPr>
      </w:pPr>
      <w:r>
        <w:rPr>
          <w:rFonts w:ascii="Arial Narrow" w:hAnsi="Arial Narrow"/>
          <w:sz w:val="20"/>
          <w:szCs w:val="20"/>
        </w:rPr>
        <w:t>Wysokie stężenia pyłów powodują podrażnienie narządów oddechowych (kaszel, kichanie, duszność).</w:t>
      </w:r>
    </w:p>
    <w:p>
      <w:pPr>
        <w:pStyle w:val="Normal"/>
        <w:spacing w:lineRule="auto" w:line="240" w:before="0" w:after="0"/>
        <w:rPr>
          <w:rFonts w:ascii="Arial Narrow" w:hAnsi="Arial Narrow"/>
          <w:sz w:val="20"/>
          <w:szCs w:val="20"/>
        </w:rPr>
      </w:pPr>
      <w:r>
        <w:rPr>
          <w:rFonts w:ascii="Arial Narrow" w:hAnsi="Arial Narrow"/>
          <w:sz w:val="20"/>
          <w:szCs w:val="20"/>
        </w:rPr>
        <w:t>W kontakcie z oczami mieszanina działa drażniąco, w przypadku masowej interwencji lub niewystarczającego leczenia (konieczne jest natychmiastowe płukanie oczu przez kilka minut) może wystąpić stan zapalny oczu aż do oparzeń chemicznych, co może prowadzić do trwałego uszkodzenia oczu (ślepoty). .</w:t>
      </w:r>
    </w:p>
    <w:p>
      <w:pPr>
        <w:pStyle w:val="Normal"/>
        <w:spacing w:lineRule="auto" w:line="240" w:before="0" w:after="0"/>
        <w:rPr>
          <w:rFonts w:ascii="Arial Narrow" w:hAnsi="Arial Narrow"/>
          <w:sz w:val="20"/>
          <w:szCs w:val="20"/>
        </w:rPr>
      </w:pPr>
      <w:r>
        <w:rPr>
          <w:rFonts w:ascii="Arial Narrow" w:hAnsi="Arial Narrow"/>
          <w:sz w:val="20"/>
          <w:szCs w:val="20"/>
        </w:rPr>
        <w:t>Powtarzający się kontakt w większości wilgotnej mieszaniny z niezabezpieczoną skórą może powodować podrażnienie skóry (kontaktowe zapalenie skóry z podrażnienia). Zapalenie skóry objawia się swędzeniem stanu zapalnego skóry. Skóra jest czerwona, łuszcząca się i popękana.</w:t>
      </w:r>
    </w:p>
    <w:p>
      <w:pPr>
        <w:pStyle w:val="Normal"/>
        <w:spacing w:lineRule="auto" w:line="240" w:before="0" w:after="0"/>
        <w:rPr>
          <w:rFonts w:ascii="Arial Narrow" w:hAnsi="Arial Narrow"/>
          <w:sz w:val="20"/>
          <w:szCs w:val="20"/>
        </w:rPr>
      </w:pPr>
      <w:r>
        <w:rPr>
          <w:rFonts w:ascii="Arial Narrow" w:hAnsi="Arial Narrow"/>
          <w:sz w:val="20"/>
          <w:szCs w:val="20"/>
        </w:rPr>
        <w:t>Kontaktowe zapalenie skóry z podrażnienia jest spowodowane kombinacją właściwości fizycznych leku (wilgotność, wysoka zasadowość i ścieranie).</w:t>
      </w:r>
    </w:p>
    <w:p>
      <w:pPr>
        <w:pStyle w:val="Normal"/>
        <w:spacing w:lineRule="auto" w:line="240" w:before="0" w:after="0"/>
        <w:rPr>
          <w:rFonts w:ascii="Arial Narrow" w:hAnsi="Arial Narrow"/>
          <w:sz w:val="20"/>
          <w:szCs w:val="20"/>
        </w:rPr>
      </w:pPr>
      <w:r>
        <w:rPr>
          <w:rFonts w:ascii="Arial Narrow" w:hAnsi="Arial Narrow"/>
          <w:sz w:val="20"/>
          <w:szCs w:val="20"/>
        </w:rPr>
        <w:t>Długotrwały kontakt mokrego cementu/mieszanki cementowej ze skórą przy jednoczesnym tarciu może spowodować poważne oparzenia.</w:t>
      </w:r>
    </w:p>
    <w:p>
      <w:pPr>
        <w:pStyle w:val="Normal"/>
        <w:spacing w:lineRule="auto" w:line="240" w:before="0" w:after="0"/>
        <w:rPr>
          <w:rFonts w:ascii="Arial Narrow" w:hAnsi="Arial Narrow"/>
          <w:sz w:val="20"/>
          <w:szCs w:val="20"/>
        </w:rPr>
      </w:pPr>
      <w:r>
        <w:rPr>
          <w:rFonts w:ascii="Arial Narrow" w:hAnsi="Arial Narrow"/>
          <w:sz w:val="20"/>
          <w:szCs w:val="20"/>
        </w:rPr>
        <w:t>Warunki zdrowotne pogorszone w wyniku narażenia Wdychanie pyłu cementowego może pogorszyć istniejące choroby układu oddechowego lub schorzenia, takie jak rozedma płuc (obrzęk płuc), astma lub istniejące choroby skóry lub oczu.</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Informacje dotyczące skutków toksykologicznych</w:t>
      </w:r>
    </w:p>
    <w:p>
      <w:pPr>
        <w:pStyle w:val="Normal"/>
        <w:spacing w:lineRule="auto" w:line="240" w:before="0" w:after="0"/>
        <w:rPr>
          <w:rFonts w:ascii="Arial Narrow" w:hAnsi="Arial Narrow"/>
          <w:sz w:val="20"/>
          <w:szCs w:val="20"/>
        </w:rPr>
      </w:pPr>
      <w:r>
        <w:rPr>
          <w:rFonts w:ascii="Arial Narrow" w:hAnsi="Arial Narrow"/>
          <w:sz w:val="20"/>
          <w:szCs w:val="20"/>
        </w:rPr>
        <w:t>Ostra toksyczność składników:</w:t>
      </w:r>
    </w:p>
    <w:p>
      <w:pPr>
        <w:pStyle w:val="Normal"/>
        <w:spacing w:lineRule="auto" w:line="240" w:before="0" w:after="0"/>
        <w:rPr>
          <w:rFonts w:ascii="Arial Narrow" w:hAnsi="Arial Narrow"/>
          <w:sz w:val="20"/>
          <w:szCs w:val="20"/>
        </w:rPr>
      </w:pPr>
      <w:r>
        <w:rPr>
          <w:rFonts w:ascii="Arial Narrow" w:hAnsi="Arial Narrow"/>
          <w:sz w:val="20"/>
          <w:szCs w:val="20"/>
        </w:rPr>
        <w:t>Wodorotlenek wapnia, CAS 1305-62-0</w:t>
      </w:r>
    </w:p>
    <w:p>
      <w:pPr>
        <w:pStyle w:val="Normal"/>
        <w:spacing w:lineRule="auto" w:line="240" w:before="0" w:after="0"/>
        <w:rPr>
          <w:rFonts w:ascii="Arial Narrow" w:hAnsi="Arial Narrow"/>
          <w:sz w:val="20"/>
          <w:szCs w:val="20"/>
        </w:rPr>
      </w:pPr>
      <w:r>
        <w:rPr>
          <w:rFonts w:ascii="Arial Narrow" w:hAnsi="Arial Narrow"/>
          <w:sz w:val="20"/>
          <w:szCs w:val="20"/>
        </w:rPr>
        <w:t>Doustnie: LD50 &gt; 2000 mg/kg (OECD 425, szczur)</w:t>
      </w:r>
    </w:p>
    <w:p>
      <w:pPr>
        <w:pStyle w:val="Normal"/>
        <w:spacing w:lineRule="auto" w:line="240" w:before="0" w:after="0"/>
        <w:rPr>
          <w:rFonts w:ascii="Arial Narrow" w:hAnsi="Arial Narrow"/>
          <w:sz w:val="20"/>
          <w:szCs w:val="20"/>
        </w:rPr>
      </w:pPr>
      <w:r>
        <w:rPr>
          <w:rFonts w:ascii="Arial Narrow" w:hAnsi="Arial Narrow"/>
          <w:sz w:val="20"/>
          <w:szCs w:val="20"/>
        </w:rPr>
        <w:t>Skóra: LD50 &gt; 2500 mg/kg (OECD 402, królik</w:t>
      </w:r>
    </w:p>
    <w:p>
      <w:pPr>
        <w:pStyle w:val="Normal"/>
        <w:spacing w:lineRule="auto" w:line="240" w:before="0" w:after="0"/>
        <w:rPr>
          <w:rFonts w:ascii="Arial Narrow" w:hAnsi="Arial Narrow"/>
          <w:sz w:val="20"/>
          <w:szCs w:val="20"/>
        </w:rPr>
      </w:pPr>
      <w:r>
        <w:rPr>
          <w:rFonts w:ascii="Arial Narrow" w:hAnsi="Arial Narrow"/>
          <w:sz w:val="20"/>
          <w:szCs w:val="20"/>
        </w:rPr>
        <w:t>Wdychanie: brak danych</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Przy klasyfikacji mieszaniny wzięto pod uwagę wartość pH mokrej mieszaniny (11 - 13,5), ogólne stężenia graniczne składników mieszaniny oraz informacje z kart charakterystyki poszczególnych składników z odniesieniem do literatury.</w:t>
      </w:r>
    </w:p>
    <w:p>
      <w:pPr>
        <w:pStyle w:val="Normal"/>
        <w:spacing w:lineRule="auto" w:line="240" w:before="0" w:after="0"/>
        <w:rPr>
          <w:rFonts w:ascii="Arial Narrow" w:hAnsi="Arial Narrow"/>
          <w:sz w:val="20"/>
          <w:szCs w:val="20"/>
        </w:rPr>
      </w:pPr>
      <w:r>
        <w:rPr>
          <w:rFonts w:ascii="Arial Narrow" w:hAnsi="Arial Narrow"/>
          <w:sz w:val="20"/>
          <w:szCs w:val="20"/>
        </w:rPr>
        <w:t>a) toksyczność ostra: na podstawie właściwości poszczególnych składników mieszanina nie spełnia tej klasyfikacji</w:t>
      </w:r>
    </w:p>
    <w:p>
      <w:pPr>
        <w:pStyle w:val="Normal"/>
        <w:spacing w:lineRule="auto" w:line="240" w:before="0" w:after="0"/>
        <w:rPr>
          <w:rFonts w:ascii="Arial Narrow" w:hAnsi="Arial Narrow"/>
          <w:sz w:val="20"/>
          <w:szCs w:val="20"/>
        </w:rPr>
      </w:pPr>
      <w:r>
        <w:rPr>
          <w:rFonts w:ascii="Arial Narrow" w:hAnsi="Arial Narrow"/>
          <w:sz w:val="20"/>
          <w:szCs w:val="20"/>
        </w:rPr>
        <w:t>b) działanie drażniące: na podstawie właściwości poszczególnych składników mieszaninę sklasyfikowano jako:</w:t>
      </w:r>
    </w:p>
    <w:p>
      <w:pPr>
        <w:pStyle w:val="Normal"/>
        <w:spacing w:lineRule="auto" w:line="240" w:before="0" w:after="0"/>
        <w:rPr>
          <w:rFonts w:ascii="Arial Narrow" w:hAnsi="Arial Narrow"/>
          <w:sz w:val="20"/>
          <w:szCs w:val="20"/>
        </w:rPr>
      </w:pPr>
      <w:r>
        <w:rPr>
          <w:rFonts w:ascii="Arial Narrow" w:hAnsi="Arial Narrow"/>
          <w:sz w:val="20"/>
          <w:szCs w:val="20"/>
        </w:rPr>
        <w:t>Poważne uszkodzenie oczu, kategoria 1 - Eye Dam. 1 (H318)</w:t>
      </w:r>
    </w:p>
    <w:p>
      <w:pPr>
        <w:pStyle w:val="Normal"/>
        <w:spacing w:lineRule="auto" w:line="240" w:before="0" w:after="0"/>
        <w:rPr>
          <w:rFonts w:ascii="Arial Narrow" w:hAnsi="Arial Narrow"/>
          <w:sz w:val="20"/>
          <w:szCs w:val="20"/>
        </w:rPr>
      </w:pPr>
      <w:r>
        <w:rPr>
          <w:rFonts w:ascii="Arial Narrow" w:hAnsi="Arial Narrow"/>
          <w:sz w:val="20"/>
          <w:szCs w:val="20"/>
        </w:rPr>
        <w:t>Działanie drażniące na skórę, kategoria 2 - Skin Irrit. 2 (H315)</w:t>
      </w:r>
    </w:p>
    <w:p>
      <w:pPr>
        <w:pStyle w:val="Normal"/>
        <w:spacing w:lineRule="auto" w:line="240" w:before="0" w:after="0"/>
        <w:rPr>
          <w:rFonts w:ascii="Arial Narrow" w:hAnsi="Arial Narrow"/>
          <w:sz w:val="20"/>
          <w:szCs w:val="20"/>
        </w:rPr>
      </w:pPr>
      <w:r>
        <w:rPr>
          <w:rFonts w:ascii="Arial Narrow" w:hAnsi="Arial Narrow"/>
          <w:sz w:val="20"/>
          <w:szCs w:val="20"/>
        </w:rPr>
        <w:t>c) korozyjność: nie określono dla mieszaniny; na podstawie właściwości poszczególnych składników mieszanina nie spełnia tej klasyfikacji</w:t>
      </w:r>
    </w:p>
    <w:p>
      <w:pPr>
        <w:pStyle w:val="Normal"/>
        <w:spacing w:lineRule="auto" w:line="240" w:before="0" w:after="0"/>
        <w:rPr>
          <w:rFonts w:ascii="Arial Narrow" w:hAnsi="Arial Narrow"/>
          <w:sz w:val="20"/>
          <w:szCs w:val="20"/>
        </w:rPr>
      </w:pPr>
      <w:r>
        <w:rPr>
          <w:rFonts w:ascii="Arial Narrow" w:hAnsi="Arial Narrow"/>
          <w:sz w:val="20"/>
          <w:szCs w:val="20"/>
        </w:rPr>
        <w:t>d) działanie uczulające: nie określono dla mieszaniny; na podstawie właściwości poszczególnych składników mieszanina nie spełnia tej klasyfikacji</w:t>
      </w:r>
    </w:p>
    <w:p>
      <w:pPr>
        <w:pStyle w:val="Normal"/>
        <w:spacing w:lineRule="auto" w:line="240" w:before="0" w:after="0"/>
        <w:rPr>
          <w:rFonts w:ascii="Arial Narrow" w:hAnsi="Arial Narrow"/>
          <w:sz w:val="20"/>
          <w:szCs w:val="20"/>
        </w:rPr>
      </w:pPr>
      <w:r>
        <w:rPr>
          <w:rFonts w:ascii="Arial Narrow" w:hAnsi="Arial Narrow"/>
          <w:sz w:val="20"/>
          <w:szCs w:val="20"/>
        </w:rPr>
        <w:t>e) toksyczność dawki powtórzonej: nie określono dla mieszaniny; na podstawie właściwości poszczególnych składników mieszanina nie spełnia tej klasyfikacji</w:t>
      </w:r>
    </w:p>
    <w:p>
      <w:pPr>
        <w:pStyle w:val="Normal"/>
        <w:spacing w:lineRule="auto" w:line="240" w:before="0" w:after="0"/>
        <w:rPr>
          <w:rFonts w:ascii="Arial Narrow" w:hAnsi="Arial Narrow"/>
          <w:sz w:val="20"/>
          <w:szCs w:val="20"/>
        </w:rPr>
      </w:pPr>
      <w:r>
        <w:rPr>
          <w:rFonts w:ascii="Arial Narrow" w:hAnsi="Arial Narrow"/>
          <w:sz w:val="20"/>
          <w:szCs w:val="20"/>
        </w:rPr>
        <w:t>f) rakotwórczość: nie określono dla mieszaniny; na podstawie właściwości poszczególnych składników mieszanina nie spełnia tej klasyfikacji</w:t>
      </w:r>
    </w:p>
    <w:p>
      <w:pPr>
        <w:pStyle w:val="Normal"/>
        <w:spacing w:lineRule="auto" w:line="240" w:before="0" w:after="0"/>
        <w:rPr>
          <w:rFonts w:ascii="Arial Narrow" w:hAnsi="Arial Narrow"/>
          <w:sz w:val="20"/>
          <w:szCs w:val="20"/>
        </w:rPr>
      </w:pPr>
      <w:r>
        <w:rPr>
          <w:rFonts w:ascii="Arial Narrow" w:hAnsi="Arial Narrow"/>
          <w:sz w:val="20"/>
          <w:szCs w:val="20"/>
        </w:rPr>
        <w:t>g) mutagenność: nie określono dla mieszaniny; na podstawie właściwości poszczególnych składników mieszanina nie spełnia tej klasyfikacji</w:t>
      </w:r>
    </w:p>
    <w:p>
      <w:pPr>
        <w:pStyle w:val="Normal"/>
        <w:spacing w:lineRule="auto" w:line="240" w:before="0" w:after="0"/>
        <w:rPr>
          <w:rFonts w:ascii="Arial Narrow" w:hAnsi="Arial Narrow"/>
          <w:sz w:val="20"/>
          <w:szCs w:val="20"/>
        </w:rPr>
      </w:pPr>
      <w:r>
        <w:rPr>
          <w:rFonts w:ascii="Arial Narrow" w:hAnsi="Arial Narrow"/>
          <w:sz w:val="20"/>
          <w:szCs w:val="20"/>
        </w:rPr>
        <w:t>h) szkodliwe działanie na rozrodczość: nie określono dla mieszaniny; na podstawie właściwości poszczególnych składników mieszanina nie spełnia tej klasyfikacji</w:t>
      </w:r>
    </w:p>
    <w:p>
      <w:pPr>
        <w:pStyle w:val="Normal"/>
        <w:spacing w:lineRule="auto" w:line="240" w:before="0" w:after="0"/>
        <w:rPr>
          <w:rFonts w:ascii="Arial Narrow" w:hAnsi="Arial Narrow"/>
          <w:sz w:val="20"/>
          <w:szCs w:val="20"/>
        </w:rPr>
      </w:pPr>
      <w:r>
        <w:rPr>
          <w:rFonts w:ascii="Arial Narrow" w:hAnsi="Arial Narrow"/>
          <w:sz w:val="20"/>
          <w:szCs w:val="20"/>
        </w:rPr>
        <w:t>i) Toksyczność dla konkretnego narządu docelowego – narażenie jednorazowe: na podstawie właściwości poszczególnych składników mieszaninę sklasyfikowano jako:</w:t>
      </w:r>
    </w:p>
    <w:p>
      <w:pPr>
        <w:pStyle w:val="Normal"/>
        <w:spacing w:lineRule="auto" w:line="240" w:before="0" w:after="0"/>
        <w:rPr>
          <w:rFonts w:ascii="Arial Narrow" w:hAnsi="Arial Narrow"/>
          <w:sz w:val="20"/>
          <w:szCs w:val="20"/>
        </w:rPr>
      </w:pPr>
      <w:r>
        <w:rPr>
          <w:rFonts w:ascii="Arial Narrow" w:hAnsi="Arial Narrow"/>
          <w:sz w:val="20"/>
          <w:szCs w:val="20"/>
        </w:rPr>
        <w:t>Działanie toksyczne na narządy docelowe – narażenie jednorazowe, podrażnienie dróg oddechowych – STOT SE 3 (H335)</w:t>
      </w:r>
    </w:p>
    <w:p>
      <w:pPr>
        <w:pStyle w:val="Normal"/>
        <w:spacing w:lineRule="auto" w:line="240" w:before="0" w:after="0"/>
        <w:rPr>
          <w:rFonts w:ascii="Arial Narrow" w:hAnsi="Arial Narrow"/>
          <w:sz w:val="20"/>
          <w:szCs w:val="20"/>
        </w:rPr>
      </w:pPr>
      <w:r>
        <w:rPr>
          <w:rFonts w:ascii="Arial Narrow" w:hAnsi="Arial Narrow"/>
          <w:sz w:val="20"/>
          <w:szCs w:val="20"/>
        </w:rPr>
        <w:t>j) Toksyczność dla konkretnego narządu docelowego – narażenie powtarzane: nie określono dla mieszaniny; na podstawie właściwości poszczególnych składników mieszanina nie spełnia tej klasyfikacji</w:t>
      </w:r>
    </w:p>
    <w:p>
      <w:pPr>
        <w:pStyle w:val="Normal"/>
        <w:spacing w:lineRule="auto" w:line="240" w:before="0" w:after="0"/>
        <w:rPr>
          <w:rFonts w:ascii="Arial Narrow" w:hAnsi="Arial Narrow"/>
          <w:sz w:val="20"/>
          <w:szCs w:val="20"/>
        </w:rPr>
      </w:pPr>
      <w:r>
        <w:rPr>
          <w:rFonts w:ascii="Arial Narrow" w:hAnsi="Arial Narrow"/>
          <w:sz w:val="20"/>
          <w:szCs w:val="20"/>
        </w:rPr>
        <w:t>k) Zagrożenie spowodowane aspiracją: nie określono dla mieszaniny; na podstawie właściwości poszczególnych składników mieszanina nie spełnia tej klasyfikacji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SEKCJA 12. INFORMACJE EKOLOGICZNE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Zmieszanie produktu z wodą powoduje podwyższenie wartości pH (11 - 13,5), mieszanina jest silnie zasadowa i może stwarzać krótkotrwałe zagrożenie dla organizmów wodnych. Wartość pH zależy od stężenia produktu w wodzie. Wartość pH szybko spada w wyniku rozcieńczenia. Po stwardnieniu, kontakcie z wodą lub wilgocią powietrza, nawet przez krótki czas nie stwarza zagrożenia dla organizmów wodnych. Zapobiegać skażeniu gleby i przedostawaniu się do wód powierzchniowych lub gruntowych, ścieków, dróg wodnych i środowiska.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Toksyczność – skutki ostre i chroniczne:</w:t>
      </w:r>
    </w:p>
    <w:p>
      <w:pPr>
        <w:pStyle w:val="Normal"/>
        <w:spacing w:lineRule="auto" w:line="240" w:before="0" w:after="0"/>
        <w:rPr>
          <w:rFonts w:ascii="Arial Narrow" w:hAnsi="Arial Narrow"/>
          <w:sz w:val="20"/>
          <w:szCs w:val="20"/>
        </w:rPr>
      </w:pPr>
      <w:r>
        <w:rPr>
          <w:rFonts w:ascii="Arial Narrow" w:hAnsi="Arial Narrow"/>
          <w:sz w:val="20"/>
          <w:szCs w:val="20"/>
        </w:rPr>
        <w:t>nieoznaczony dla mieszaniny, ze względu na charakter poszczególnych składników nie jest oczekiwany</w:t>
      </w:r>
    </w:p>
    <w:p>
      <w:pPr>
        <w:pStyle w:val="Normal"/>
        <w:spacing w:lineRule="auto" w:line="240" w:before="0" w:after="0"/>
        <w:rPr>
          <w:rFonts w:ascii="Arial Narrow" w:hAnsi="Arial Narrow"/>
          <w:sz w:val="20"/>
          <w:szCs w:val="20"/>
        </w:rPr>
      </w:pPr>
      <w:r>
        <w:rPr>
          <w:rFonts w:ascii="Arial Narrow" w:hAnsi="Arial Narrow"/>
          <w:sz w:val="20"/>
          <w:szCs w:val="20"/>
        </w:rPr>
        <w:t>Wodorotlenek wapnia, CAS 1305-62-0</w:t>
      </w:r>
    </w:p>
    <w:p>
      <w:pPr>
        <w:pStyle w:val="Normal"/>
        <w:spacing w:lineRule="auto" w:line="240" w:before="0" w:after="0"/>
        <w:rPr>
          <w:rFonts w:ascii="Arial Narrow" w:hAnsi="Arial Narrow"/>
          <w:sz w:val="20"/>
          <w:szCs w:val="20"/>
        </w:rPr>
      </w:pPr>
      <w:r>
        <w:rPr>
          <w:rFonts w:ascii="Arial Narrow" w:hAnsi="Arial Narrow"/>
          <w:sz w:val="20"/>
          <w:szCs w:val="20"/>
        </w:rPr>
        <w:t>LC50 (96h) dla ryb słodkowodnych: 50,6 mg/l</w:t>
      </w:r>
    </w:p>
    <w:p>
      <w:pPr>
        <w:pStyle w:val="Normal"/>
        <w:spacing w:lineRule="auto" w:line="240" w:before="0" w:after="0"/>
        <w:rPr>
          <w:rFonts w:ascii="Arial Narrow" w:hAnsi="Arial Narrow"/>
          <w:sz w:val="20"/>
          <w:szCs w:val="20"/>
        </w:rPr>
      </w:pPr>
      <w:r>
        <w:rPr>
          <w:rFonts w:ascii="Arial Narrow" w:hAnsi="Arial Narrow"/>
          <w:sz w:val="20"/>
          <w:szCs w:val="20"/>
        </w:rPr>
        <w:t>LC50 (96h) dla ryb morskich: 457 mg/l</w:t>
      </w:r>
    </w:p>
    <w:p>
      <w:pPr>
        <w:pStyle w:val="Normal"/>
        <w:spacing w:lineRule="auto" w:line="240" w:before="0" w:after="0"/>
        <w:rPr>
          <w:rFonts w:ascii="Arial Narrow" w:hAnsi="Arial Narrow"/>
          <w:sz w:val="20"/>
          <w:szCs w:val="20"/>
        </w:rPr>
      </w:pPr>
      <w:r>
        <w:rPr>
          <w:rFonts w:ascii="Arial Narrow" w:hAnsi="Arial Narrow"/>
          <w:sz w:val="20"/>
          <w:szCs w:val="20"/>
        </w:rPr>
        <w:t>EC50 (48h) dla bezkręgowców słodkowodnych: 49,1 mg/l</w:t>
      </w:r>
    </w:p>
    <w:p>
      <w:pPr>
        <w:pStyle w:val="Normal"/>
        <w:spacing w:lineRule="auto" w:line="240" w:before="0" w:after="0"/>
        <w:rPr>
          <w:rFonts w:ascii="Arial Narrow" w:hAnsi="Arial Narrow"/>
          <w:sz w:val="20"/>
          <w:szCs w:val="20"/>
        </w:rPr>
      </w:pPr>
      <w:r>
        <w:rPr>
          <w:rFonts w:ascii="Arial Narrow" w:hAnsi="Arial Narrow"/>
          <w:sz w:val="20"/>
          <w:szCs w:val="20"/>
        </w:rPr>
        <w:t>LC50 (96h) dla bezkręgowców morskich: 158 mg/l</w:t>
      </w:r>
    </w:p>
    <w:p>
      <w:pPr>
        <w:pStyle w:val="Normal"/>
        <w:spacing w:lineRule="auto" w:line="240" w:before="0" w:after="0"/>
        <w:rPr>
          <w:rFonts w:ascii="Arial Narrow" w:hAnsi="Arial Narrow"/>
          <w:sz w:val="20"/>
          <w:szCs w:val="20"/>
        </w:rPr>
      </w:pPr>
      <w:r>
        <w:rPr>
          <w:rFonts w:ascii="Arial Narrow" w:hAnsi="Arial Narrow"/>
          <w:sz w:val="20"/>
          <w:szCs w:val="20"/>
        </w:rPr>
        <w:t>EC50 (72h) dla alg słodkowodnych: 184,57 mg/l</w:t>
      </w:r>
    </w:p>
    <w:p>
      <w:pPr>
        <w:pStyle w:val="Normal"/>
        <w:spacing w:lineRule="auto" w:line="240" w:before="0" w:after="0"/>
        <w:rPr>
          <w:rFonts w:ascii="Arial Narrow" w:hAnsi="Arial Narrow"/>
          <w:sz w:val="20"/>
          <w:szCs w:val="20"/>
        </w:rPr>
      </w:pPr>
      <w:r>
        <w:rPr>
          <w:rFonts w:ascii="Arial Narrow" w:hAnsi="Arial Narrow"/>
          <w:sz w:val="20"/>
          <w:szCs w:val="20"/>
        </w:rPr>
        <w:t>NOEC (72h) dla wodorostów: 48 mg/l</w:t>
      </w:r>
    </w:p>
    <w:p>
      <w:pPr>
        <w:pStyle w:val="Normal"/>
        <w:spacing w:lineRule="auto" w:line="240" w:before="0" w:after="0"/>
        <w:rPr>
          <w:rFonts w:ascii="Arial Narrow" w:hAnsi="Arial Narrow"/>
          <w:sz w:val="20"/>
          <w:szCs w:val="20"/>
        </w:rPr>
      </w:pPr>
      <w:r>
        <w:rPr>
          <w:rFonts w:ascii="Arial Narrow" w:hAnsi="Arial Narrow"/>
          <w:sz w:val="20"/>
          <w:szCs w:val="20"/>
        </w:rPr>
        <w:t>NOEC (14d) dla bezkręgowców morskich: 32 mg/l</w:t>
      </w:r>
    </w:p>
    <w:p>
      <w:pPr>
        <w:pStyle w:val="Normal"/>
        <w:spacing w:lineRule="auto" w:line="240" w:before="0" w:after="0"/>
        <w:rPr>
          <w:rFonts w:ascii="Arial Narrow" w:hAnsi="Arial Narrow"/>
          <w:sz w:val="20"/>
          <w:szCs w:val="20"/>
        </w:rPr>
      </w:pPr>
      <w:r>
        <w:rPr>
          <w:rFonts w:ascii="Arial Narrow" w:hAnsi="Arial Narrow"/>
          <w:sz w:val="20"/>
          <w:szCs w:val="20"/>
        </w:rPr>
        <w:t>EC10/LC10 lub NOEC dla mikroorganizmów glebowych: 2000 mg/kg suchej gleby</w:t>
      </w:r>
    </w:p>
    <w:p>
      <w:pPr>
        <w:pStyle w:val="Normal"/>
        <w:spacing w:lineRule="auto" w:line="240" w:before="0" w:after="0"/>
        <w:rPr>
          <w:rFonts w:ascii="Arial Narrow" w:hAnsi="Arial Narrow"/>
          <w:sz w:val="20"/>
          <w:szCs w:val="20"/>
        </w:rPr>
      </w:pPr>
      <w:r>
        <w:rPr>
          <w:rFonts w:ascii="Arial Narrow" w:hAnsi="Arial Narrow"/>
          <w:sz w:val="20"/>
          <w:szCs w:val="20"/>
        </w:rPr>
        <w:t>EC10/LC10 lub NOEC dla mikroorganizmów glebowych: 12000 mg/kg suchej gleby</w:t>
      </w:r>
    </w:p>
    <w:p>
      <w:pPr>
        <w:pStyle w:val="Normal"/>
        <w:spacing w:lineRule="auto" w:line="240" w:before="0" w:after="0"/>
        <w:rPr>
          <w:rFonts w:ascii="Arial Narrow" w:hAnsi="Arial Narrow"/>
          <w:sz w:val="20"/>
          <w:szCs w:val="20"/>
        </w:rPr>
      </w:pPr>
      <w:r>
        <w:rPr>
          <w:rFonts w:ascii="Arial Narrow" w:hAnsi="Arial Narrow"/>
          <w:sz w:val="20"/>
          <w:szCs w:val="20"/>
        </w:rPr>
        <w:t>NOEC (21d) rośliny lądowe: 1080 mg/kg</w:t>
      </w:r>
    </w:p>
    <w:p>
      <w:pPr>
        <w:pStyle w:val="Normal"/>
        <w:spacing w:lineRule="auto" w:line="240" w:before="0" w:after="0"/>
        <w:rPr>
          <w:rFonts w:ascii="Arial Narrow" w:hAnsi="Arial Narrow"/>
          <w:sz w:val="20"/>
          <w:szCs w:val="20"/>
        </w:rPr>
      </w:pPr>
      <w:r>
        <w:rPr>
          <w:rFonts w:ascii="Arial Narrow" w:hAnsi="Arial Narrow"/>
          <w:sz w:val="20"/>
          <w:szCs w:val="20"/>
        </w:rPr>
        <w:t>Wodorotlenek wapnia w wysokim stężeniu służy do dezynfekcji osadów ściekowych poprzez podwyższenie temperatury i pH.</w:t>
      </w:r>
    </w:p>
    <w:p>
      <w:pPr>
        <w:pStyle w:val="Normal"/>
        <w:spacing w:lineRule="auto" w:line="240" w:before="0" w:after="0"/>
        <w:rPr>
          <w:rFonts w:ascii="Arial Narrow" w:hAnsi="Arial Narrow"/>
          <w:sz w:val="20"/>
          <w:szCs w:val="20"/>
        </w:rPr>
      </w:pPr>
      <w:r>
        <w:rPr>
          <w:rFonts w:ascii="Arial Narrow" w:hAnsi="Arial Narrow"/>
          <w:sz w:val="20"/>
          <w:szCs w:val="20"/>
        </w:rPr>
        <w:t>Ostre działanie poprzez zmianę pH - choć wodorotlenek wapnia służy do regulacji kwasowości wody, jego zawartość może wzrosnąć o więcej niż 1 g/l, co jest niebezpieczne dla organizmów wodnych. Wartość pH &gt; 12 szybko spada w wyniku rozcieńczenia i konwersji do węglanu.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Trwałość i zdolność do rozkładu: </w:t>
      </w:r>
      <w:r>
        <w:rPr>
          <w:rFonts w:ascii="Arial Narrow" w:hAnsi="Arial Narrow"/>
          <w:sz w:val="20"/>
          <w:szCs w:val="20"/>
        </w:rPr>
        <w:t>nie określono dla mieszaniny, ze względu na charakter poszczególnych składników nie przewiduje się</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Potencjał bioakumulacyjny:</w:t>
      </w:r>
      <w:r>
        <w:rPr/>
        <w:t xml:space="preserve"> </w:t>
      </w:r>
      <w:r>
        <w:rPr>
          <w:rFonts w:ascii="Arial Narrow" w:hAnsi="Arial Narrow"/>
          <w:sz w:val="20"/>
          <w:szCs w:val="20"/>
        </w:rPr>
        <w:t>nieoznaczony dla mieszaniny, ze względu na charakter poszczególnych składników nie jest oczekiwany</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Mobilność w glebie:</w:t>
      </w:r>
      <w:r>
        <w:rPr/>
        <w:t xml:space="preserve"> </w:t>
      </w:r>
      <w:r>
        <w:rPr>
          <w:rFonts w:ascii="Arial Narrow" w:hAnsi="Arial Narrow"/>
          <w:sz w:val="20"/>
          <w:szCs w:val="20"/>
        </w:rPr>
        <w:t>nieoznaczony dla mieszaniny, ze względu na charakter poszczególnych składników nie jest oczekiwany; po stwardnieniu produktu wodą tworzy się stabilny produkt stały. Wodorotlenek wapnia sam w sobie jest trudno rozpuszczalny w wodzie i wykazuje niską ruchliwość w większości gleb. Stosowany jest między innymi jako nawóz.</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Wyniki oceny właściwości PBT i vPvB: </w:t>
      </w:r>
      <w:r>
        <w:rPr>
          <w:rFonts w:ascii="Arial Narrow" w:hAnsi="Arial Narrow"/>
          <w:sz w:val="20"/>
          <w:szCs w:val="20"/>
        </w:rPr>
        <w:t>nie zawiera substancji PBT i vPvB</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Inne niekorzystne skutki: </w:t>
      </w:r>
      <w:r>
        <w:rPr>
          <w:rFonts w:ascii="Arial Narrow" w:hAnsi="Arial Narrow"/>
          <w:sz w:val="20"/>
          <w:szCs w:val="20"/>
        </w:rPr>
        <w:t>brak danych</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ROZDZIAŁ 13. INSTRUKCJE UTYLIZACJI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Metody unieszkodliwiania odpadów (pozostałości po mieszaninach i mieszaninach zanieczyszczonych wodą)</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Odpowiednie metody usuwania mieszaniny i zanieczyszczonych opakowań Zarówno mieszaninę (pozostałości), jak i puste opakowania należy utylizować zgodnie z obowiązującymi przepisami jako odpady niebezpieczne w miejscu wyznaczonym przez gminę do usuwania odpadów niebezpiecznych lub przekazać do utylizacji profesjonalnie wykwalifikowana firma. Odpady należy zabezpieczyć przed przedostaniem się do otoczenia. Przy obchodzeniu się z odpadami zaleca się stosowanie środków ochrony indywidualnej (patrz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Pył: 10 13 06 Zanieczyszczenia stałe i pyły (z wyjątkiem odpadów wymienionych pod numerami 10 13 12 i 10 13 13)</w:t>
      </w:r>
    </w:p>
    <w:p>
      <w:pPr>
        <w:pStyle w:val="Normal"/>
        <w:spacing w:lineRule="auto" w:line="240" w:before="0" w:after="0"/>
        <w:rPr>
          <w:rFonts w:ascii="Arial Narrow" w:hAnsi="Arial Narrow"/>
          <w:sz w:val="20"/>
          <w:szCs w:val="20"/>
        </w:rPr>
      </w:pPr>
      <w:r>
        <w:rPr>
          <w:rFonts w:ascii="Arial Narrow" w:hAnsi="Arial Narrow"/>
          <w:sz w:val="20"/>
          <w:szCs w:val="20"/>
        </w:rPr>
        <w:t>Nieużywany produkt:</w:t>
      </w:r>
    </w:p>
    <w:p>
      <w:pPr>
        <w:pStyle w:val="Normal"/>
        <w:spacing w:lineRule="auto" w:line="240" w:before="0" w:after="0"/>
        <w:rPr>
          <w:rFonts w:ascii="Arial Narrow" w:hAnsi="Arial Narrow"/>
          <w:sz w:val="20"/>
          <w:szCs w:val="20"/>
        </w:rPr>
      </w:pPr>
      <w:r>
        <w:rPr>
          <w:rFonts w:ascii="Arial Narrow" w:hAnsi="Arial Narrow"/>
          <w:sz w:val="20"/>
          <w:szCs w:val="20"/>
        </w:rPr>
        <w:t>10 13 11 Odpady cementowych materiałów kompozytowych inne niż wymienione w 10 13 09 i 10 13 10</w:t>
      </w:r>
    </w:p>
    <w:p>
      <w:pPr>
        <w:pStyle w:val="Normal"/>
        <w:spacing w:lineRule="auto" w:line="240" w:before="0" w:after="0"/>
        <w:rPr>
          <w:rFonts w:ascii="Arial Narrow" w:hAnsi="Arial Narrow"/>
          <w:sz w:val="20"/>
          <w:szCs w:val="20"/>
        </w:rPr>
      </w:pPr>
      <w:r>
        <w:rPr>
          <w:rFonts w:ascii="Arial Narrow" w:hAnsi="Arial Narrow"/>
          <w:sz w:val="20"/>
          <w:szCs w:val="20"/>
        </w:rPr>
        <w:t>10 13 14 Odpady betonu i osady betonowe</w:t>
      </w:r>
    </w:p>
    <w:p>
      <w:pPr>
        <w:pStyle w:val="Normal"/>
        <w:spacing w:lineRule="auto" w:line="240" w:before="0" w:after="0"/>
        <w:rPr>
          <w:rFonts w:ascii="Arial Narrow" w:hAnsi="Arial Narrow"/>
          <w:sz w:val="20"/>
          <w:szCs w:val="20"/>
        </w:rPr>
      </w:pPr>
      <w:r>
        <w:rPr>
          <w:rFonts w:ascii="Arial Narrow" w:hAnsi="Arial Narrow"/>
          <w:sz w:val="20"/>
          <w:szCs w:val="20"/>
        </w:rPr>
        <w:t>Produkt po zmieszaniu z wodą (i stwardnieniu): 17 01 01 Beton</w:t>
      </w:r>
    </w:p>
    <w:p>
      <w:pPr>
        <w:pStyle w:val="Normal"/>
        <w:spacing w:lineRule="auto" w:line="240" w:before="0" w:after="0"/>
        <w:rPr>
          <w:rFonts w:ascii="Arial Narrow" w:hAnsi="Arial Narrow"/>
          <w:sz w:val="20"/>
          <w:szCs w:val="20"/>
        </w:rPr>
      </w:pPr>
      <w:r>
        <w:rPr>
          <w:rFonts w:ascii="Arial Narrow" w:hAnsi="Arial Narrow"/>
          <w:sz w:val="20"/>
          <w:szCs w:val="20"/>
        </w:rPr>
        <w:t>Opakowanie: według konkretnego rodzaju opakowania, grupa opakowań 15 01 xx (głównie 15 01 01 do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Regulacje prawne dotyczące odpadów</w:t>
      </w:r>
    </w:p>
    <w:p>
      <w:pPr>
        <w:pStyle w:val="Normal"/>
        <w:spacing w:lineRule="auto" w:line="240" w:before="0" w:after="0"/>
        <w:rPr>
          <w:rFonts w:ascii="Arial Narrow" w:hAnsi="Arial Narrow"/>
          <w:sz w:val="20"/>
          <w:szCs w:val="20"/>
        </w:rPr>
      </w:pPr>
      <w:r>
        <w:rPr>
          <w:rFonts w:ascii="Arial Narrow" w:hAnsi="Arial Narrow"/>
          <w:sz w:val="20"/>
          <w:szCs w:val="20"/>
        </w:rPr>
        <w:t>Akt nr. 185/2001 Zb. o odpadach, z późniejszymi zmianami, oraz przepisy wykonawcze do niej</w:t>
      </w:r>
    </w:p>
    <w:p>
      <w:pPr>
        <w:pStyle w:val="Normal"/>
        <w:spacing w:lineRule="auto" w:line="240" w:before="0" w:after="0"/>
        <w:rPr>
          <w:rFonts w:ascii="Arial Narrow" w:hAnsi="Arial Narrow"/>
          <w:sz w:val="20"/>
          <w:szCs w:val="20"/>
        </w:rPr>
      </w:pPr>
      <w:r>
        <w:rPr>
          <w:rFonts w:ascii="Arial Narrow" w:hAnsi="Arial Narrow"/>
          <w:sz w:val="20"/>
          <w:szCs w:val="20"/>
        </w:rPr>
        <w:t>Akt nr. 477/2001 Coll., o opakowaniu, z późniejszymi zmianami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SEKCJA 14. INFORMACJE O PRZYGOTOWANIU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Produkty nie są w rozumieniu § 22 ust. (1) Ustawa nr 111/1994 Coll. w sprawie przewozu drogowego towarów niebezpiecznych ze zmianami i nie podlegają postanowieniom Europejskiej Umowy o przewozie drogowym towarów niebezpiecznych (ADR) ani postanowieniom Regulaminu międzynarodowego przewozu kolejowego towarów niebezpiecznych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Numer UN: nie dotyczy</w:t>
      </w:r>
    </w:p>
    <w:p>
      <w:pPr>
        <w:pStyle w:val="Normal"/>
        <w:spacing w:lineRule="auto" w:line="240" w:before="0" w:after="0"/>
        <w:rPr>
          <w:rFonts w:ascii="Arial Narrow" w:hAnsi="Arial Narrow"/>
          <w:sz w:val="20"/>
          <w:szCs w:val="20"/>
        </w:rPr>
      </w:pPr>
      <w:r>
        <w:rPr>
          <w:rFonts w:ascii="Arial Narrow" w:hAnsi="Arial Narrow"/>
          <w:sz w:val="20"/>
          <w:szCs w:val="20"/>
        </w:rPr>
        <w:t>14.2 Prawidłowa nazwa przewozowa UN: nie dotyczy</w:t>
      </w:r>
    </w:p>
    <w:p>
      <w:pPr>
        <w:pStyle w:val="Normal"/>
        <w:spacing w:lineRule="auto" w:line="240" w:before="0" w:after="0"/>
        <w:rPr>
          <w:rFonts w:ascii="Arial Narrow" w:hAnsi="Arial Narrow"/>
          <w:sz w:val="20"/>
          <w:szCs w:val="20"/>
        </w:rPr>
      </w:pPr>
      <w:r>
        <w:rPr>
          <w:rFonts w:ascii="Arial Narrow" w:hAnsi="Arial Narrow"/>
          <w:sz w:val="20"/>
          <w:szCs w:val="20"/>
        </w:rPr>
        <w:t>14.3 Klasa/klasy zagrożenia w transporcie: nie dotyczy</w:t>
      </w:r>
    </w:p>
    <w:p>
      <w:pPr>
        <w:pStyle w:val="Normal"/>
        <w:spacing w:lineRule="auto" w:line="240" w:before="0" w:after="0"/>
        <w:rPr>
          <w:rFonts w:ascii="Arial Narrow" w:hAnsi="Arial Narrow"/>
          <w:sz w:val="20"/>
          <w:szCs w:val="20"/>
        </w:rPr>
      </w:pPr>
      <w:r>
        <w:rPr>
          <w:rFonts w:ascii="Arial Narrow" w:hAnsi="Arial Narrow"/>
          <w:sz w:val="20"/>
          <w:szCs w:val="20"/>
        </w:rPr>
        <w:t>14.4 Grupa pakowania: nie dotyczy</w:t>
      </w:r>
    </w:p>
    <w:p>
      <w:pPr>
        <w:pStyle w:val="Normal"/>
        <w:spacing w:lineRule="auto" w:line="240" w:before="0" w:after="0"/>
        <w:rPr>
          <w:rFonts w:ascii="Arial Narrow" w:hAnsi="Arial Narrow"/>
          <w:sz w:val="20"/>
          <w:szCs w:val="20"/>
        </w:rPr>
      </w:pPr>
      <w:r>
        <w:rPr>
          <w:rFonts w:ascii="Arial Narrow" w:hAnsi="Arial Narrow"/>
          <w:sz w:val="20"/>
          <w:szCs w:val="20"/>
        </w:rPr>
        <w:t>14.5 Zagrożenie dla środowiska: nie dotyczy</w:t>
      </w:r>
    </w:p>
    <w:p>
      <w:pPr>
        <w:pStyle w:val="Normal"/>
        <w:spacing w:lineRule="auto" w:line="240" w:before="0" w:after="0"/>
        <w:rPr>
          <w:rFonts w:ascii="Arial Narrow" w:hAnsi="Arial Narrow"/>
          <w:sz w:val="20"/>
          <w:szCs w:val="20"/>
        </w:rPr>
      </w:pPr>
      <w:r>
        <w:rPr>
          <w:rFonts w:ascii="Arial Narrow" w:hAnsi="Arial Narrow"/>
          <w:sz w:val="20"/>
          <w:szCs w:val="20"/>
        </w:rPr>
        <w:t>14.6 Szczególne środki bezpieczeństwa użytkownika: nie dotyczy</w:t>
      </w:r>
    </w:p>
    <w:p>
      <w:pPr>
        <w:pStyle w:val="Normal"/>
        <w:spacing w:lineRule="auto" w:line="240" w:before="0" w:after="0"/>
        <w:rPr>
          <w:rFonts w:ascii="Arial Narrow" w:hAnsi="Arial Narrow"/>
          <w:sz w:val="20"/>
          <w:szCs w:val="20"/>
        </w:rPr>
      </w:pPr>
      <w:r>
        <w:rPr>
          <w:rFonts w:ascii="Arial Narrow" w:hAnsi="Arial Narrow"/>
          <w:sz w:val="20"/>
          <w:szCs w:val="20"/>
        </w:rPr>
        <w:t>14.7 Przewóz ładunków masowych zgodnie z załącznikiem II do Konwencji MARPOL i Kodeksem IBC: nie dotyczy</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SEKCJA 15. INFORMACJE PRZEPISY PRAWNE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Przepisy/przepisy dotyczące bezpieczeństwa, zdrowia i ochrony środowiska specyficzne dla substancji lub mieszaniny</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Rozporządzenie PE i Rady (WE) nr. 1907/2006 w sprawie rejestracji, oceny, udzielania zezwoleń i ograniczeń w zakresie substancji chemicznych (REACH), z późniejszymi zmianami; 1272/2008 w sprawie klasyfikacji, oznakowania i pakowania substancji i mieszanin (CLP), ze zmianami;</w:t>
      </w:r>
    </w:p>
    <w:p>
      <w:pPr>
        <w:pStyle w:val="Normal"/>
        <w:spacing w:lineRule="auto" w:line="240" w:before="0" w:after="0"/>
        <w:rPr>
          <w:rFonts w:ascii="Arial Narrow" w:hAnsi="Arial Narrow"/>
          <w:sz w:val="20"/>
          <w:szCs w:val="20"/>
        </w:rPr>
      </w:pPr>
      <w:r>
        <w:rPr>
          <w:rFonts w:ascii="Arial Narrow" w:hAnsi="Arial Narrow"/>
          <w:sz w:val="20"/>
          <w:szCs w:val="20"/>
        </w:rPr>
        <w:t>Dyrektywa 67/548/EWG w sprawie zbliżenia ustawodawstwa odnoszącego się do klasyfikacji, pakowania i etykietowania substancji niebezpiecznych (DSD);</w:t>
      </w:r>
    </w:p>
    <w:p>
      <w:pPr>
        <w:pStyle w:val="Normal"/>
        <w:spacing w:lineRule="auto" w:line="240" w:before="0" w:after="0"/>
        <w:rPr>
          <w:rFonts w:ascii="Arial Narrow" w:hAnsi="Arial Narrow"/>
          <w:sz w:val="20"/>
          <w:szCs w:val="20"/>
        </w:rPr>
      </w:pPr>
      <w:r>
        <w:rPr>
          <w:rFonts w:ascii="Arial Narrow" w:hAnsi="Arial Narrow"/>
          <w:sz w:val="20"/>
          <w:szCs w:val="20"/>
        </w:rPr>
        <w:t>Dyrektywa 1999/45/WE w sprawie zbliżenia środków prawnych i administracyjnych państw członkowskich w zakresie klasyfikacji, pakowania i etykietowania preparatów niebezpiecznych z późniejszymi zmianami (DPD);</w:t>
      </w:r>
    </w:p>
    <w:p>
      <w:pPr>
        <w:pStyle w:val="Normal"/>
        <w:spacing w:lineRule="auto" w:line="240" w:before="0" w:after="0"/>
        <w:rPr>
          <w:rFonts w:ascii="Arial Narrow" w:hAnsi="Arial Narrow"/>
          <w:sz w:val="20"/>
          <w:szCs w:val="20"/>
        </w:rPr>
      </w:pPr>
      <w:r>
        <w:rPr>
          <w:rFonts w:ascii="Arial Narrow" w:hAnsi="Arial Narrow"/>
          <w:sz w:val="20"/>
          <w:szCs w:val="20"/>
        </w:rPr>
        <w:t>Europejska umowa o międzynarodowym przewozie drogowym towarów niebezpiecznych (ADR)</w:t>
      </w:r>
    </w:p>
    <w:p>
      <w:pPr>
        <w:pStyle w:val="Normal"/>
        <w:spacing w:lineRule="auto" w:line="240" w:before="0" w:after="0"/>
        <w:rPr>
          <w:rFonts w:ascii="Arial Narrow" w:hAnsi="Arial Narrow"/>
          <w:sz w:val="20"/>
          <w:szCs w:val="20"/>
        </w:rPr>
      </w:pPr>
      <w:r>
        <w:rPr>
          <w:rFonts w:ascii="Arial Narrow" w:hAnsi="Arial Narrow"/>
          <w:sz w:val="20"/>
          <w:szCs w:val="20"/>
        </w:rPr>
        <w:t>Prawo nr. 258/2000 Zb. w sprawie ochrony zdrowia publicznego, z późniejszymi zmianami;</w:t>
      </w:r>
    </w:p>
    <w:p>
      <w:pPr>
        <w:pStyle w:val="Normal"/>
        <w:spacing w:lineRule="auto" w:line="240" w:before="0" w:after="0"/>
        <w:rPr>
          <w:rFonts w:ascii="Arial Narrow" w:hAnsi="Arial Narrow"/>
          <w:sz w:val="20"/>
          <w:szCs w:val="20"/>
        </w:rPr>
      </w:pPr>
      <w:r>
        <w:rPr>
          <w:rFonts w:ascii="Arial Narrow" w:hAnsi="Arial Narrow"/>
          <w:sz w:val="20"/>
          <w:szCs w:val="20"/>
        </w:rPr>
        <w:t>Ustawa 262/2006 Sb., Kodeks pracy, z późn. zm.;</w:t>
      </w:r>
    </w:p>
    <w:p>
      <w:pPr>
        <w:pStyle w:val="Normal"/>
        <w:spacing w:lineRule="auto" w:line="240" w:before="0" w:after="0"/>
        <w:rPr>
          <w:rFonts w:ascii="Arial Narrow" w:hAnsi="Arial Narrow"/>
          <w:sz w:val="20"/>
          <w:szCs w:val="20"/>
        </w:rPr>
      </w:pPr>
      <w:r>
        <w:rPr>
          <w:rFonts w:ascii="Arial Narrow" w:hAnsi="Arial Narrow"/>
          <w:sz w:val="20"/>
          <w:szCs w:val="20"/>
        </w:rPr>
        <w:t>Rozporządzenie Rządu nr. 361/2007 Dz.U., Ustalanie warunków ochrony zdrowia pracowników w miejscu pracy, z późn. zm.; 201/2012 Zb. w sprawie ochrony powietrza i przepisów wykonawczych;</w:t>
      </w:r>
    </w:p>
    <w:p>
      <w:pPr>
        <w:pStyle w:val="Normal"/>
        <w:spacing w:lineRule="auto" w:line="240" w:before="0" w:after="0"/>
        <w:rPr>
          <w:rFonts w:ascii="Arial Narrow" w:hAnsi="Arial Narrow"/>
          <w:sz w:val="20"/>
          <w:szCs w:val="20"/>
        </w:rPr>
      </w:pPr>
      <w:r>
        <w:rPr>
          <w:rFonts w:ascii="Arial Narrow" w:hAnsi="Arial Narrow"/>
          <w:sz w:val="20"/>
          <w:szCs w:val="20"/>
        </w:rPr>
        <w:t>Prawo nr. 185 / 2001Poz. w sprawie odpadów, z późniejszymi zmianami, oraz przepisy wykonawcze do niej;</w:t>
      </w:r>
    </w:p>
    <w:p>
      <w:pPr>
        <w:pStyle w:val="Normal"/>
        <w:spacing w:lineRule="auto" w:line="240" w:before="0" w:after="0"/>
        <w:rPr>
          <w:rFonts w:ascii="Arial Narrow" w:hAnsi="Arial Narrow"/>
          <w:sz w:val="20"/>
          <w:szCs w:val="20"/>
        </w:rPr>
      </w:pPr>
      <w:r>
        <w:rPr>
          <w:rFonts w:ascii="Arial Narrow" w:hAnsi="Arial Narrow"/>
          <w:sz w:val="20"/>
          <w:szCs w:val="20"/>
        </w:rPr>
        <w:t>Prawo nr. 477/2001 Zb. na opakowaniu ze zmianami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15.2 Ocena bezpieczeństwa chemicznego:</w:t>
      </w:r>
      <w:bookmarkStart w:id="0" w:name="_GoBack"/>
      <w:bookmarkEnd w:id="0"/>
    </w:p>
    <w:p>
      <w:pPr>
        <w:pStyle w:val="Normal"/>
        <w:spacing w:lineRule="auto" w:line="240" w:before="0" w:after="0"/>
        <w:rPr/>
      </w:pPr>
      <w:r>
        <w:rPr>
          <w:rFonts w:ascii="Arial Narrow" w:hAnsi="Arial Narrow"/>
          <w:sz w:val="20"/>
          <w:szCs w:val="20"/>
        </w:rPr>
        <w:t>Na potrzeby rejestracji pyłów z produkcji klinkieru portlandzkiego przeprowadzono ocenę bezpieczeństwa chemicznego dla szeregu scenariuszy jego stosowania, w tym scenariuszy stosowania w suchych mieszankach zaprawowych. Wszystkie istotne wnioski z oceny tej substancji, które można zastosować także do klinkieru cementowego, zawarte są w niniejszej karcie charakterystyki. Mieszanki zaprawowe są wyrobem przeznaczonym do użytku końcowego, dlatego też do karty charakterystyki nie są dołączone żadne inne scenariusze narażenia.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SEKCJA 16. DALSZE INFORMACJE</w:t>
      </w:r>
    </w:p>
    <w:p>
      <w:pPr>
        <w:pStyle w:val="Normal"/>
        <w:spacing w:lineRule="auto" w:line="240" w:before="0" w:after="0"/>
        <w:rPr>
          <w:rFonts w:ascii="Arial Narrow" w:hAnsi="Arial Narrow"/>
          <w:b/>
          <w:b/>
          <w:sz w:val="20"/>
          <w:szCs w:val="20"/>
        </w:rPr>
      </w:pPr>
      <w:r>
        <w:rPr>
          <w:rFonts w:ascii="Arial Narrow" w:hAnsi="Arial Narrow"/>
          <w:b/>
          <w:sz w:val="20"/>
          <w:szCs w:val="20"/>
        </w:rPr>
        <w:t>Zwrot R:</w:t>
      </w:r>
    </w:p>
    <w:p>
      <w:pPr>
        <w:pStyle w:val="Normal"/>
        <w:spacing w:lineRule="auto" w:line="240" w:before="0" w:after="0"/>
        <w:rPr>
          <w:rFonts w:ascii="Arial Narrow" w:hAnsi="Arial Narrow"/>
          <w:sz w:val="20"/>
          <w:szCs w:val="20"/>
        </w:rPr>
      </w:pPr>
      <w:r>
        <w:rPr>
          <w:rFonts w:ascii="Arial Narrow" w:hAnsi="Arial Narrow"/>
          <w:sz w:val="20"/>
          <w:szCs w:val="20"/>
        </w:rPr>
        <w:t>R 20/22 Działa szkodliwie przez drogi oddechowe i po połknięciu</w:t>
      </w:r>
    </w:p>
    <w:p>
      <w:pPr>
        <w:pStyle w:val="Normal"/>
        <w:spacing w:lineRule="auto" w:line="240" w:before="0" w:after="0"/>
        <w:rPr>
          <w:rFonts w:ascii="Arial Narrow" w:hAnsi="Arial Narrow"/>
          <w:sz w:val="20"/>
          <w:szCs w:val="20"/>
        </w:rPr>
      </w:pPr>
      <w:r>
        <w:rPr>
          <w:rFonts w:ascii="Arial Narrow" w:hAnsi="Arial Narrow"/>
          <w:sz w:val="20"/>
          <w:szCs w:val="20"/>
        </w:rPr>
        <w:t>R 36 Działa drażniąco na oczy</w:t>
      </w:r>
    </w:p>
    <w:p>
      <w:pPr>
        <w:pStyle w:val="Normal"/>
        <w:spacing w:lineRule="auto" w:line="240" w:before="0" w:after="0"/>
        <w:rPr>
          <w:rFonts w:ascii="Arial Narrow" w:hAnsi="Arial Narrow"/>
          <w:sz w:val="20"/>
          <w:szCs w:val="20"/>
        </w:rPr>
      </w:pPr>
      <w:r>
        <w:rPr>
          <w:rFonts w:ascii="Arial Narrow" w:hAnsi="Arial Narrow"/>
          <w:sz w:val="20"/>
          <w:szCs w:val="20"/>
        </w:rPr>
        <w:t>R 37 Działa drażniąco na drogi oddechowe</w:t>
      </w:r>
    </w:p>
    <w:p>
      <w:pPr>
        <w:pStyle w:val="Normal"/>
        <w:spacing w:lineRule="auto" w:line="240" w:before="0" w:after="0"/>
        <w:rPr>
          <w:rFonts w:ascii="Arial Narrow" w:hAnsi="Arial Narrow"/>
          <w:sz w:val="20"/>
          <w:szCs w:val="20"/>
        </w:rPr>
      </w:pPr>
      <w:r>
        <w:rPr>
          <w:rFonts w:ascii="Arial Narrow" w:hAnsi="Arial Narrow"/>
          <w:sz w:val="20"/>
          <w:szCs w:val="20"/>
        </w:rPr>
        <w:t>R 38 Działa drażniąco na skórę</w:t>
      </w:r>
    </w:p>
    <w:p>
      <w:pPr>
        <w:pStyle w:val="Normal"/>
        <w:spacing w:lineRule="auto" w:line="240" w:before="0" w:after="0"/>
        <w:rPr>
          <w:rFonts w:ascii="Arial Narrow" w:hAnsi="Arial Narrow"/>
          <w:sz w:val="20"/>
          <w:szCs w:val="20"/>
        </w:rPr>
      </w:pPr>
      <w:r>
        <w:rPr>
          <w:rFonts w:ascii="Arial Narrow" w:hAnsi="Arial Narrow"/>
          <w:sz w:val="20"/>
          <w:szCs w:val="20"/>
        </w:rPr>
        <w:t>R 41 Ryzyko poważnego uszkodzenia oczu</w:t>
      </w:r>
    </w:p>
    <w:p>
      <w:pPr>
        <w:pStyle w:val="Normal"/>
        <w:spacing w:lineRule="auto" w:line="240" w:before="0" w:after="0"/>
        <w:rPr>
          <w:rFonts w:ascii="Arial Narrow" w:hAnsi="Arial Narrow"/>
          <w:sz w:val="20"/>
          <w:szCs w:val="20"/>
        </w:rPr>
      </w:pPr>
      <w:r>
        <w:rPr>
          <w:rFonts w:ascii="Arial Narrow" w:hAnsi="Arial Narrow"/>
          <w:sz w:val="20"/>
          <w:szCs w:val="20"/>
        </w:rPr>
        <w:t>R 43 Może powodować uczulenie w kontakcie ze skórą</w:t>
      </w:r>
    </w:p>
    <w:p>
      <w:pPr>
        <w:pStyle w:val="Normal"/>
        <w:spacing w:lineRule="auto" w:line="240" w:before="0" w:after="0"/>
        <w:rPr>
          <w:rFonts w:ascii="Arial Narrow" w:hAnsi="Arial Narrow"/>
          <w:b/>
          <w:b/>
          <w:sz w:val="20"/>
          <w:szCs w:val="20"/>
        </w:rPr>
      </w:pPr>
      <w:r>
        <w:rPr>
          <w:rFonts w:ascii="Arial Narrow" w:hAnsi="Arial Narrow"/>
          <w:b/>
          <w:sz w:val="20"/>
          <w:szCs w:val="20"/>
        </w:rPr>
        <w:t>Zwrot H:</w:t>
      </w:r>
    </w:p>
    <w:p>
      <w:pPr>
        <w:pStyle w:val="Normal"/>
        <w:spacing w:lineRule="auto" w:line="240" w:before="0" w:after="0"/>
        <w:rPr>
          <w:rFonts w:ascii="Arial Narrow" w:hAnsi="Arial Narrow"/>
          <w:sz w:val="20"/>
          <w:szCs w:val="20"/>
        </w:rPr>
      </w:pPr>
      <w:r>
        <w:rPr>
          <w:rFonts w:ascii="Arial Narrow" w:hAnsi="Arial Narrow"/>
          <w:sz w:val="20"/>
          <w:szCs w:val="20"/>
        </w:rPr>
        <w:t>H315 Działa drażniąco na skórę.</w:t>
      </w:r>
    </w:p>
    <w:p>
      <w:pPr>
        <w:pStyle w:val="Normal"/>
        <w:spacing w:lineRule="auto" w:line="240" w:before="0" w:after="0"/>
        <w:rPr>
          <w:rFonts w:ascii="Arial Narrow" w:hAnsi="Arial Narrow"/>
          <w:sz w:val="20"/>
          <w:szCs w:val="20"/>
        </w:rPr>
      </w:pPr>
      <w:r>
        <w:rPr>
          <w:rFonts w:ascii="Arial Narrow" w:hAnsi="Arial Narrow"/>
          <w:sz w:val="20"/>
          <w:szCs w:val="20"/>
        </w:rPr>
        <w:t>H317 Może powodować reakcję alergiczną skóry.</w:t>
      </w:r>
    </w:p>
    <w:p>
      <w:pPr>
        <w:pStyle w:val="Normal"/>
        <w:spacing w:lineRule="auto" w:line="240" w:before="0" w:after="0"/>
        <w:rPr>
          <w:rFonts w:ascii="Arial Narrow" w:hAnsi="Arial Narrow"/>
          <w:sz w:val="20"/>
          <w:szCs w:val="20"/>
        </w:rPr>
      </w:pPr>
      <w:r>
        <w:rPr>
          <w:rFonts w:ascii="Arial Narrow" w:hAnsi="Arial Narrow"/>
          <w:sz w:val="20"/>
          <w:szCs w:val="20"/>
        </w:rPr>
        <w:t>H318 Powoduje poważne uszkodzenie oczu.</w:t>
      </w:r>
    </w:p>
    <w:p>
      <w:pPr>
        <w:pStyle w:val="Normal"/>
        <w:spacing w:lineRule="auto" w:line="240" w:before="0" w:after="0"/>
        <w:rPr>
          <w:rFonts w:ascii="Arial Narrow" w:hAnsi="Arial Narrow"/>
          <w:sz w:val="20"/>
          <w:szCs w:val="20"/>
        </w:rPr>
      </w:pPr>
      <w:r>
        <w:rPr>
          <w:rFonts w:ascii="Arial Narrow" w:hAnsi="Arial Narrow"/>
          <w:sz w:val="20"/>
          <w:szCs w:val="20"/>
        </w:rPr>
        <w:t>H335 Może powodować podrażnienie dróg oddechowych.</w:t>
      </w:r>
    </w:p>
    <w:p>
      <w:pPr>
        <w:pStyle w:val="Normal"/>
        <w:spacing w:lineRule="auto" w:line="240" w:before="0" w:after="0"/>
        <w:rPr>
          <w:rFonts w:ascii="Arial Narrow" w:hAnsi="Arial Narrow"/>
          <w:b/>
          <w:b/>
          <w:sz w:val="20"/>
          <w:szCs w:val="20"/>
        </w:rPr>
      </w:pPr>
      <w:r>
        <w:rPr>
          <w:rFonts w:ascii="Arial Narrow" w:hAnsi="Arial Narrow"/>
          <w:b/>
          <w:sz w:val="20"/>
          <w:szCs w:val="20"/>
        </w:rPr>
        <w:t>Zdanie P:</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Jeżeli konieczna jest pomoc lekarska, należy przygotować opakowanie lub etykietę producenta.</w:t>
      </w:r>
    </w:p>
    <w:p>
      <w:pPr>
        <w:pStyle w:val="Normal"/>
        <w:spacing w:lineRule="auto" w:line="240" w:before="0" w:after="0"/>
        <w:rPr>
          <w:rFonts w:ascii="Arial Narrow" w:hAnsi="Arial Narrow"/>
          <w:sz w:val="20"/>
          <w:szCs w:val="20"/>
        </w:rPr>
      </w:pPr>
      <w:r>
        <w:rPr>
          <w:rFonts w:ascii="Arial Narrow" w:hAnsi="Arial Narrow"/>
          <w:sz w:val="20"/>
          <w:szCs w:val="20"/>
        </w:rPr>
        <w:t>P102 Chronić przed dziećmi.</w:t>
      </w:r>
    </w:p>
    <w:p>
      <w:pPr>
        <w:pStyle w:val="Normal"/>
        <w:spacing w:lineRule="auto" w:line="240" w:before="0" w:after="0"/>
        <w:rPr>
          <w:rFonts w:ascii="Arial Narrow" w:hAnsi="Arial Narrow"/>
          <w:sz w:val="20"/>
          <w:szCs w:val="20"/>
        </w:rPr>
      </w:pPr>
      <w:r>
        <w:rPr>
          <w:rFonts w:ascii="Arial Narrow" w:hAnsi="Arial Narrow"/>
          <w:sz w:val="20"/>
          <w:szCs w:val="20"/>
        </w:rPr>
        <w:t>P261 Unikać wdychania pyłu.</w:t>
      </w:r>
    </w:p>
    <w:p>
      <w:pPr>
        <w:pStyle w:val="Normal"/>
        <w:spacing w:lineRule="auto" w:line="240" w:before="0" w:after="0"/>
        <w:rPr>
          <w:rFonts w:ascii="Arial Narrow" w:hAnsi="Arial Narrow"/>
          <w:sz w:val="20"/>
          <w:szCs w:val="20"/>
        </w:rPr>
      </w:pPr>
      <w:r>
        <w:rPr>
          <w:rFonts w:ascii="Arial Narrow" w:hAnsi="Arial Narrow"/>
          <w:sz w:val="20"/>
          <w:szCs w:val="20"/>
        </w:rPr>
        <w:t>P280 Stosować rękawice ochronne/odzież ochronną/okulary ochronne/osłonę twarzy.</w:t>
      </w:r>
    </w:p>
    <w:p>
      <w:pPr>
        <w:pStyle w:val="Normal"/>
        <w:spacing w:lineRule="auto" w:line="240" w:before="0" w:after="0"/>
        <w:rPr>
          <w:rFonts w:ascii="Arial Narrow" w:hAnsi="Arial Narrow"/>
          <w:sz w:val="20"/>
          <w:szCs w:val="20"/>
        </w:rPr>
      </w:pPr>
      <w:r>
        <w:rPr>
          <w:rFonts w:ascii="Arial Narrow" w:hAnsi="Arial Narrow"/>
          <w:sz w:val="20"/>
          <w:szCs w:val="20"/>
        </w:rPr>
        <w:t>P305 + P351 + P338: W PRZYPADKU DOSTANIA SIĘ DO OCZU: Ostrożnie płukać wodą przez kilka minut. Wyjmij soczewki kontaktowe, jeśli są noszone i wyjmij je, jeśli to możliwe. Kontynuuj płukanie.</w:t>
      </w:r>
    </w:p>
    <w:p>
      <w:pPr>
        <w:pStyle w:val="Normal"/>
        <w:spacing w:lineRule="auto" w:line="240" w:before="0" w:after="0"/>
        <w:rPr>
          <w:rFonts w:ascii="Arial Narrow" w:hAnsi="Arial Narrow"/>
          <w:sz w:val="20"/>
          <w:szCs w:val="20"/>
        </w:rPr>
      </w:pPr>
      <w:r>
        <w:rPr>
          <w:rFonts w:ascii="Arial Narrow" w:hAnsi="Arial Narrow"/>
          <w:sz w:val="20"/>
          <w:szCs w:val="20"/>
        </w:rPr>
        <w:t>P310: Natychmiast skontaktować się z OŚRODKIEM ZATRUĆ lub lekarzem.</w:t>
      </w:r>
    </w:p>
    <w:p>
      <w:pPr>
        <w:pStyle w:val="Normal"/>
        <w:spacing w:lineRule="auto" w:line="240" w:before="0" w:after="0"/>
        <w:rPr>
          <w:rFonts w:ascii="Arial Narrow" w:hAnsi="Arial Narrow"/>
          <w:sz w:val="20"/>
          <w:szCs w:val="20"/>
        </w:rPr>
      </w:pPr>
      <w:r>
        <w:rPr>
          <w:rFonts w:ascii="Arial Narrow" w:hAnsi="Arial Narrow"/>
          <w:sz w:val="20"/>
          <w:szCs w:val="20"/>
        </w:rPr>
        <w:t>P302 + P352: W PRZYPADKU KONTAKTU ZE SKÓRĄ: Umyć dużą ilością wody z mydłem. W przypadku podrażnienia skóry lub wysypki</w:t>
      </w:r>
    </w:p>
    <w:p>
      <w:pPr>
        <w:pStyle w:val="Normal"/>
        <w:spacing w:lineRule="auto" w:line="240" w:before="0" w:after="0"/>
        <w:rPr>
          <w:rFonts w:ascii="Arial Narrow" w:hAnsi="Arial Narrow"/>
          <w:sz w:val="20"/>
          <w:szCs w:val="20"/>
        </w:rPr>
      </w:pPr>
      <w:r>
        <w:rPr>
          <w:rFonts w:ascii="Arial Narrow" w:hAnsi="Arial Narrow"/>
          <w:sz w:val="20"/>
          <w:szCs w:val="20"/>
        </w:rPr>
        <w:t>P333 + P313: Zapewnić pomoc lekarską.</w:t>
      </w:r>
    </w:p>
    <w:p>
      <w:pPr>
        <w:pStyle w:val="Normal"/>
        <w:spacing w:lineRule="auto" w:line="240" w:before="0" w:after="0"/>
        <w:rPr>
          <w:rFonts w:ascii="Arial Narrow" w:hAnsi="Arial Narrow"/>
          <w:sz w:val="20"/>
          <w:szCs w:val="20"/>
        </w:rPr>
      </w:pPr>
      <w:r>
        <w:rPr>
          <w:rFonts w:ascii="Arial Narrow" w:hAnsi="Arial Narrow"/>
          <w:sz w:val="20"/>
          <w:szCs w:val="20"/>
        </w:rPr>
        <w:t>P304 + P340: W PRZYPADKU DOSTANIA SIĘ DO DRÓG ODDECHOWYCH: wyprowadzić osobę na świeże powietrze i zachować pozycję ułatwiającą oddychanie.</w:t>
      </w:r>
    </w:p>
    <w:p>
      <w:pPr>
        <w:pStyle w:val="Normal"/>
        <w:spacing w:lineRule="auto" w:line="240" w:before="0" w:after="0"/>
        <w:rPr>
          <w:rFonts w:ascii="Arial Narrow" w:hAnsi="Arial Narrow"/>
          <w:sz w:val="20"/>
          <w:szCs w:val="20"/>
        </w:rPr>
      </w:pPr>
      <w:r>
        <w:rPr>
          <w:rFonts w:ascii="Arial Narrow" w:hAnsi="Arial Narrow"/>
          <w:sz w:val="20"/>
          <w:szCs w:val="20"/>
        </w:rPr>
        <w:t>P312 W przypadku złego samopoczucia skontaktować się z OŚRODKIEM ZATRUĆ lub lekarzem.</w:t>
      </w:r>
    </w:p>
    <w:p>
      <w:pPr>
        <w:pStyle w:val="Normal"/>
        <w:spacing w:lineRule="auto" w:line="240" w:before="0" w:after="0"/>
        <w:rPr>
          <w:rFonts w:ascii="Arial Narrow" w:hAnsi="Arial Narrow"/>
          <w:sz w:val="20"/>
          <w:szCs w:val="20"/>
        </w:rPr>
      </w:pPr>
      <w:r>
        <w:rPr>
          <w:rFonts w:ascii="Arial Narrow" w:hAnsi="Arial Narrow"/>
          <w:sz w:val="20"/>
          <w:szCs w:val="20"/>
        </w:rPr>
        <w:t>P501 Zawartość/opakowanie usuwać w punkcie zbiórki wyznaczonym zgodnie z lokalnymi przepisami.</w:t>
      </w:r>
    </w:p>
    <w:p>
      <w:pPr>
        <w:pStyle w:val="Normal"/>
        <w:widowControl/>
        <w:suppressAutoHyphens w:val="true"/>
        <w:overflowPunct w:val="false"/>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F50 | Strona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r>
      <w:rPr>
        <w:rFonts w:cs="Arial" w:ascii="Arial" w:hAnsi="Arial"/>
        <w:color w:val="FF0000"/>
        <w:sz w:val="16"/>
        <w:szCs w:val="16"/>
      </w:rPr>
      <w:t xml:space="preserve">z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hanging="426"/>
      <w:jc w:val="right"/>
      <w:rPr/>
    </w:pPr>
    <w:bookmarkStart w:id="1" w:name="_Hlk24560184"/>
    <w:bookmarkEnd w:id="1"/>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2" w:name="_Hlk245601841"/>
    <w:bookmarkStart w:id="3" w:name="_Hlk245601841"/>
    <w:bookmarkEnd w:id="3"/>
  </w:p>
  <w:p>
    <w:pPr>
      <w:pStyle w:val="Zhlavie"/>
      <w:ind w:left="284" w:hanging="0"/>
      <w:rPr/>
    </w:pPr>
    <w:r>
      <w:rPr>
        <w:rFonts w:cs="Arial" w:ascii="Arial Narrow" w:hAnsi="Arial Narrow"/>
        <w:b/>
        <w:color w:val="262626"/>
        <w:spacing w:val="10"/>
        <w:sz w:val="28"/>
        <w:szCs w:val="28"/>
      </w:rPr>
      <w:t xml:space="preserve">Karta charakterystyki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F50</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z załącznikiem II REACH Rozporządzenie WE nr. 1907/2006 i rozporządzenie (WE) nr. 1272/2008</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Utworzono: 20.02.2023</w:t>
    </w:r>
  </w:p>
  <w:p>
    <w:pPr>
      <w:pStyle w:val="Zhlavie"/>
      <w:ind w:left="284"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4"/>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false"/>
      <w:bidi w:val="0"/>
      <w:spacing w:lineRule="auto" w:line="259" w:before="0" w:after="160"/>
      <w:jc w:val="left"/>
    </w:pPr>
    <w:rPr>
      <w:rFonts w:ascii="Calibri" w:hAnsi="Calibri" w:eastAsia="Calibri" w:cs="DejaVu Sans"/>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Internetovodkaz" w:customStyle="1">
    <w:name w:val="Internetový odkaz"/>
    <w:basedOn w:val="DefaultParagraphFont"/>
    <w:rPr>
      <w:color w:val="0563C1"/>
      <w:u w:val="single"/>
    </w:rPr>
  </w:style>
  <w:style w:type="character" w:styleId="UnresolvedMention" w:customStyle="1">
    <w:name w:val="Unresolved Mention"/>
    <w:basedOn w:val="DefaultParagraphFont"/>
    <w:qFormat/>
    <w:rPr>
      <w:color w:val="808080"/>
      <w:shd w:fill="E6E6E6" w:val="clear"/>
    </w:rPr>
  </w:style>
  <w:style w:type="character" w:styleId="ZkladntextChar" w:customStyle="1">
    <w:name w:val="Základní text Char"/>
    <w:basedOn w:val="DefaultParagraphFont"/>
    <w:qFormat/>
    <w:rPr>
      <w:rFonts w:ascii="Arial Narrow" w:hAnsi="Arial Narrow" w:eastAsia="Arial Narrow"/>
      <w:sz w:val="18"/>
      <w:szCs w:val="18"/>
      <w:lang w:val="pl-PL"/>
    </w:rPr>
  </w:style>
  <w:style w:type="character" w:styleId="PlaceholderText">
    <w:name w:val="Placeholder Text"/>
    <w:basedOn w:val="DefaultParagraphFont"/>
    <w:qFormat/>
    <w:rPr>
      <w:color w:val="808080"/>
    </w:rPr>
  </w:style>
  <w:style w:type="character" w:styleId="ZhlavChar" w:customStyle="1">
    <w:name w:val="Záhlaví Char"/>
    <w:basedOn w:val="DefaultParagraphFont"/>
    <w:qFormat/>
    <w:rPr/>
  </w:style>
  <w:style w:type="character" w:styleId="ZpatChar" w:customStyle="1">
    <w:name w:val="Zápatí Char"/>
    <w:basedOn w:val="DefaultParagraphFont"/>
    <w:qFormat/>
    <w:rPr/>
  </w:style>
  <w:style w:type="character" w:styleId="FormtovanvHTMLChar" w:customStyle="1">
    <w:name w:val="Formátovaný v HTML Char"/>
    <w:basedOn w:val="DefaultParagraphFont"/>
    <w:link w:val="HTMLPreformatted"/>
    <w:qFormat/>
    <w:rPr>
      <w:rFonts w:ascii="Courier New" w:hAnsi="Courier New" w:eastAsia="Times New Roman" w:cs="Courier New"/>
      <w:sz w:val="20"/>
      <w:szCs w:val="20"/>
      <w:lang w:val="pl-PL" w:eastAsia="de-DE"/>
    </w:rPr>
  </w:style>
  <w:style w:type="character" w:styleId="TextbublinyChar" w:customStyle="1">
    <w:name w:val="Text bubliny Char"/>
    <w:basedOn w:val="DefaultParagraphFont"/>
    <w:link w:val="BalloonText"/>
    <w:qFormat/>
    <w:rPr>
      <w:rFonts w:ascii="Tahoma" w:hAnsi="Tahoma" w:cs="Tahoma"/>
      <w:sz w:val="16"/>
      <w:szCs w:val="16"/>
    </w:rPr>
  </w:style>
  <w:style w:type="paragraph" w:styleId="Nadpis" w:customStyle="1">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hanging="0"/>
    </w:pPr>
    <w:rPr>
      <w:rFonts w:ascii="Arial Narrow" w:hAnsi="Arial Narrow" w:eastAsia="Arial Narrow"/>
      <w:sz w:val="18"/>
      <w:szCs w:val="18"/>
      <w:lang w:val="pl-PL"/>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ListParagraph">
    <w:name w:val="List Paragraph"/>
    <w:basedOn w:val="Normal"/>
    <w:qFormat/>
    <w:pPr>
      <w:spacing w:before="0" w:after="160"/>
      <w:ind w:left="72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pl-PL" w:eastAsia="de-DE"/>
    </w:rPr>
  </w:style>
  <w:style w:type="paragraph" w:styleId="Hlavikaapta" w:customStyle="1">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pl-PL"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customStyle="1">
    <w:name w:val="Obsah tabuľky"/>
    <w:basedOn w:val="Normal"/>
    <w:qFormat/>
    <w:pPr>
      <w:widowControl w:val="false"/>
      <w:suppressLineNumbers/>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bmp"/><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LibreOffice/7.3.7.2$Linux_X86_64 LibreOffice_project/30$Build-2</Application>
  <AppVersion>15.0000</AppVersion>
  <Pages>10</Pages>
  <Words>3841</Words>
  <Characters>25264</Characters>
  <CharactersWithSpaces>28878</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2024-09-06T13:48:00Z</dcterms:created>
  <dc:creator>Sprenger</dc:creator>
  <dc:description/>
  <dc:language>sk-SK</dc:language>
  <cp:lastModifiedBy/>
  <cp:lastPrinted>2018-07-03T07:46:00Z</cp:lastPrinted>
  <dcterms:modified xsi:type="dcterms:W3CDTF">2025-01-22T10:55:24Z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