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bmp" ContentType="image/bmp"/>
  <Override PartName="/word/media/image3.png" ContentType="image/png"/>
  <Override PartName="/word/embeddings/oleObject1.bin" ContentType="application/vnd.openxmlformats-officedocument.oleObject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1. rész AZ ANYAG/KEVERÉK ÉS A VÁLLALAT/VÁLLALKOZÁS AZONOSÍTÁSA</w:t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iCs/>
          <w:sz w:val="20"/>
          <w:szCs w:val="20"/>
        </w:rPr>
      </w:pPr>
      <w:r>
        <w:rPr>
          <w:rFonts w:ascii="Arial Narrow" w:hAnsi="Arial Narrow"/>
          <w:b/>
          <w:iCs/>
          <w:sz w:val="20"/>
          <w:szCs w:val="20"/>
        </w:rPr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b/>
          <w:iCs/>
          <w:sz w:val="20"/>
          <w:szCs w:val="20"/>
        </w:rPr>
        <w:t>Termékazonosító:</w:t>
      </w:r>
    </w:p>
    <w:p>
      <w:pPr>
        <w:pStyle w:val="Normal"/>
        <w:spacing w:before="0" w:after="0"/>
        <w:rPr/>
      </w:pPr>
      <w:r>
        <w:rPr>
          <w:rFonts w:ascii="Arial Narrow" w:hAnsi="Arial Narrow"/>
          <w:iCs/>
          <w:sz w:val="20"/>
          <w:szCs w:val="20"/>
        </w:rPr>
        <w:t>Termék neve:</w:t>
      </w:r>
      <w:r>
        <w:rPr>
          <w:rFonts w:ascii="Arial Narrow" w:hAnsi="Arial Narrow"/>
          <w:b/>
          <w:iCs/>
          <w:sz w:val="20"/>
          <w:szCs w:val="20"/>
        </w:rPr>
        <w:t xml:space="preserve"> </w:t>
        <w:tab/>
      </w:r>
      <w:r>
        <w:rPr>
          <w:rFonts w:ascii="Arial Narrow" w:hAnsi="Arial Narrow"/>
          <w:b/>
          <w:bCs/>
          <w:sz w:val="20"/>
          <w:szCs w:val="20"/>
        </w:rPr>
        <w:t>IsoTex F50</w:t>
      </w:r>
    </w:p>
    <w:p>
      <w:pPr>
        <w:pStyle w:val="Normal"/>
        <w:spacing w:lineRule="auto" w:line="240" w:before="0" w:after="0"/>
        <w:ind w:left="1410" w:hanging="0"/>
        <w:rPr>
          <w:rFonts w:ascii="Arial Narrow" w:hAnsi="Arial Narrow"/>
          <w:b/>
          <w:b/>
          <w:iCs/>
          <w:sz w:val="20"/>
          <w:szCs w:val="20"/>
          <w:vertAlign w:val="superscript"/>
        </w:rPr>
      </w:pPr>
      <w:r>
        <w:rPr>
          <w:rFonts w:ascii="Arial Narrow" w:hAnsi="Arial Narrow"/>
          <w:b/>
          <w:iCs/>
          <w:sz w:val="20"/>
          <w:szCs w:val="20"/>
          <w:vertAlign w:val="superscript"/>
        </w:rPr>
      </w:r>
    </w:p>
    <w:p>
      <w:pPr>
        <w:pStyle w:val="Normal"/>
        <w:spacing w:before="0" w:after="0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 xml:space="preserve">Egyéb nevek: </w:t>
        <w:tab/>
        <w:t>-----------------</w:t>
      </w:r>
    </w:p>
    <w:p>
      <w:pPr>
        <w:pStyle w:val="Normal"/>
        <w:spacing w:before="0" w:after="0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Kémiai leírás: Száraz vakolat keverék, Portlandcement keverék és adalékok az STN EN 998-1 szerint Kémiai név Portlandcement CAS szám: 65997-15-1 EK szám (EINECS): 266-043-4, Kalcium-hidroxid CAS szám: 1305. - 620 EK-szám (EINECS): 215-137-3</w:t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1.3. Az anyag vagy keverék megfelelő azonosított felhasználásai és felhasználásai: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 vakolat épületeken kívül vagy belül egyaránt kézi vagy gépi felhordásra szolgál. A vakolatot az aljzathoz való jó tapadás, könnyű felhordás, csökkent felületi nedvszívó képesség és hosszabb feldolgozási idő jellemzi. Fagyálló, időjárásálló, a vakolat hosszú élettartamú és alacsony nedvszívó képességű.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1.3. Gyártó azonosító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Az EU-ban készült, a SICC Coatings GmbH számára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Telefon: </w:t>
        <w:tab/>
        <w:t>+421 903 805 121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E-mail: </w:t>
        <w:tab/>
        <w:t>info@climatecoating.sk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Weboldal: www.climatecoating.sk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1.3. Telefonszám vészhelyzet esetére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Toxikológiai Információs Központ, Na bojišti 1, 128 08 Prága 2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Telefon: +420 224 919 293, 224 915 402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2. SZAKASZ. </w:t>
        <w:tab/>
        <w:tab/>
        <w:t>VESZÉLY AZONOSÍTÁSA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2.1. Az anyag vagy keverék osztályozása: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Az 1272/2008/EK rendelet szerinti osztályozás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Bőrirritáció, 2. kategória: </w:t>
        <w:tab/>
        <w:t>H315 irritálja a bőrt.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Súlyos szemkárosodás, 1. kategória: </w:t>
        <w:tab/>
        <w:t>H318 Súlyos szemkárosodást okoz.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Bőrszenzibilizáció, 1B kategória, </w:t>
        <w:tab/>
        <w:t>H317 Allergiás bőrreakciót válthat ki.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Célszervi toxicitás - egyszeri expozíció, 3. kategória, H335 Légúti irritációt okozhat.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2.2. jelölő elemek</w:t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Veszélyre figyelmeztető szimbólum:</w:t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drawing>
          <wp:anchor behindDoc="0" distT="0" distB="0" distL="114300" distR="114300" simplePos="0" locked="0" layoutInCell="0" allowOverlap="1" relativeHeight="12">
            <wp:simplePos x="0" y="0"/>
            <wp:positionH relativeFrom="column">
              <wp:posOffset>13970</wp:posOffset>
            </wp:positionH>
            <wp:positionV relativeFrom="paragraph">
              <wp:posOffset>137795</wp:posOffset>
            </wp:positionV>
            <wp:extent cx="828040" cy="828040"/>
            <wp:effectExtent l="0" t="0" r="0" b="0"/>
            <wp:wrapTight wrapText="bothSides">
              <wp:wrapPolygon edited="0">
                <wp:start x="-44" y="0"/>
                <wp:lineTo x="-44" y="20833"/>
                <wp:lineTo x="20832" y="20833"/>
                <wp:lineTo x="20832" y="0"/>
                <wp:lineTo x="-44" y="0"/>
              </wp:wrapPolygon>
            </wp:wrapTight>
            <wp:docPr id="1" name="Obrázek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object>
          <v:shapetype id="_x0000_tole_rId3" coordsize="21600,21600" o:spt="ole_rId3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3" type="_x0000_tole_rId3" style="position:absolute;margin-left:0.05pt;margin-top:0pt;width:1.15pt;height:28.35pt;mso-wrap-distance-left:9pt;mso-wrap-distance-right:0pt;mso-position-horizontal-relative:text;mso-position-vertical-relative:text" filled="f" o:ole="">
            <v:imagedata r:id="rId4" o:title=""/>
            <w10:wrap type="tight"/>
          </v:shape>
          <o:OLEObject Type="Embed" ProgID="PBrush" ShapeID="ole_rId3" DrawAspect="Content" ObjectID="_1697817341" r:id="rId3"/>
        </w:object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figyelmeztető szó: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Veszély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rPr/>
      </w:pPr>
      <w:r>
        <w:rPr>
          <w:rFonts w:ascii="Arial Narrow" w:hAnsi="Arial Narrow"/>
          <w:b/>
          <w:sz w:val="20"/>
          <w:szCs w:val="20"/>
        </w:rPr>
        <w:t xml:space="preserve">Szabványos figyelmeztető mondatok: </w:t>
      </w:r>
      <w:r>
        <w:rPr>
          <w:rFonts w:ascii="Arial Narrow" w:hAnsi="Arial Narrow"/>
          <w:sz w:val="16"/>
          <w:szCs w:val="16"/>
        </w:rPr>
        <w:t>Portlandcement (CAS: 65997-15-1)</w:t>
      </w:r>
    </w:p>
    <w:p>
      <w:pPr>
        <w:pStyle w:val="Normal"/>
        <w:spacing w:lineRule="auto" w:line="240" w:before="0" w:after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H315 </w:t>
        <w:tab/>
        <w:t>Bőrizgató hatású.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H318 </w:t>
        <w:tab/>
        <w:t>Súlyos szemkárosodást okoz.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H335 </w:t>
        <w:tab/>
        <w:t>Légúti irritációt okozhat.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Útmutató a biztonságos kezeléshez: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P101 </w:t>
        <w:tab/>
        <w:t>Ha orvosi ellátásra van szükség, a tartályt vagy a gyártó címkéjét kell rendelkezésre bocsátani.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P102 </w:t>
        <w:tab/>
        <w:t>Gyermekek elől elzárva tartandó.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P261 </w:t>
        <w:tab/>
        <w:t>Kerülje a por belélegzését.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P280 </w:t>
        <w:tab/>
        <w:t>Használjon védőkesztyűt / védőruházatot / védőszemüveget / arcvédőt.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P305+P351+P338: SZEMBE KERÜLÉS ESETÉN: Több percig tartó óvatos öblítés. Távolítsa el a kontaktlencséket, ha viseli, és távolítsa el, ha lehetséges. Folytassa az öblítést.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P310: Azonnal forduljon TOXIKOLÓGIAI KÖZPONTHOZ vagy orvoshoz.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P302+P352: HA BŐRRE KERÜL: Mossa le bő szappannal és vízzel. Bőrirritáció vagy kiütés esetén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P333+P313: Orvosi ellátást kell kérni.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P304+P340: BELÉLEGZÉS ESETÉN: Az érintett személyt friss levegőre kell vinni és olyan testhelyzetbe kell helyezni, hogy megkönnyítse a légzést.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P312 Rosszullét esetén forduljon TOXIKOLÓGIAI KÖZPONTHOZ vagy orvoshoz.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P501 A tartalmat/csomagolást a helyi előírásoknak megfelelően kijelölt gyűjtőhelyen kell leadni.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Veszélyes összetevők: portlandcement, kalcium-hidroxid.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További információk: A nedves keverék károsíthatja az alumíniumból és más nem nemesfémekből készült termékeket.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További veszélyre vonatkozó információk: nem alkalmazható</w:t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Kézzelfogható figyelmeztetés a vakok számára: nem</w:t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Gyermekbiztos záródás: nem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2.3. Újabb veszély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Ismételt érintkezés, különösen a nedves termék védtelen bőrrel, bőrirritációt (irritatív kontakt dermatitist) okozhat, és egyeseknél allergiás kontakt dermatitis is kialakulhat.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Vízzel való keverés után erősen lúgos keverék képződik, amely képes korrodálni az alumíniumot, vagy károsítani a vízi élőlényeket vagy növényeket magas pH-n. A keverék nem felel meg az EU 1907/ XIII. 2006.</w:t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3. SZAKASZ ÖSSZETÉTEL / AZ ÖSSZETEVŐKRE VONATKOZÓ INFORMÁCIÓK</w:t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3.1. Anyagok: a termék keverék</w:t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3.2. Keverékek: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Száraz vakolat keverék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rPr/>
      </w:pPr>
      <w:r>
        <w:rPr>
          <w:rFonts w:ascii="Arial Narrow" w:hAnsi="Arial Narrow"/>
          <w:b/>
          <w:sz w:val="20"/>
          <w:szCs w:val="20"/>
        </w:rPr>
        <w:t xml:space="preserve">A termék a következő veszélyes anyagokat tartalmazza: Portlandcement szürke; kalcium-hidroxid </w:t>
      </w:r>
      <w:r>
        <w:rPr>
          <w:rFonts w:ascii="Arial Narrow" w:hAnsi="Arial Narrow"/>
          <w:sz w:val="20"/>
          <w:szCs w:val="20"/>
        </w:rPr>
        <w:t>;</w:t>
      </w:r>
    </w:p>
    <w:tbl>
      <w:tblPr>
        <w:tblW w:w="10080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005"/>
        <w:gridCol w:w="2015"/>
        <w:gridCol w:w="1984"/>
        <w:gridCol w:w="2046"/>
        <w:gridCol w:w="2030"/>
      </w:tblGrid>
      <w:tr>
        <w:trPr/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b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Kémiai név: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b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CAS szám: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b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EK-szám (EINECS)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b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Mutatószám: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b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Regisztrációs szám: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b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Tartalom %-ban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b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Osztályozás az 1999/45/EK irányelv szerint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Figyelmeztető szimbólum, R mondatok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Osztályozás a 1272/2008/EK rendelet szerint: </w:t>
            </w:r>
            <w:r>
              <w:rPr>
                <w:rFonts w:ascii="Arial Narrow" w:hAnsi="Arial Narrow"/>
                <w:sz w:val="16"/>
                <w:szCs w:val="16"/>
              </w:rPr>
              <w:t>Osztálykód és H veszélyességi kategória mondat</w:t>
            </w:r>
          </w:p>
        </w:tc>
      </w:tr>
      <w:tr>
        <w:trPr/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Portland cement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65997-15-1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266-043-4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25-30%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Arial Narrow" w:hAnsi="Arial Narrow"/>
                <w:sz w:val="16"/>
                <w:szCs w:val="16"/>
              </w:rPr>
              <w:t xml:space="preserve">irritáló, X </w:t>
            </w:r>
            <w:r>
              <w:rPr>
                <w:rFonts w:ascii="Arial Narrow" w:hAnsi="Arial Narrow"/>
                <w:sz w:val="16"/>
                <w:szCs w:val="16"/>
                <w:vertAlign w:val="subscript"/>
              </w:rPr>
              <w:t>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R37/38-41, szenzibilizáló, R43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Bőrirritáció. 2, H315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Eye Dam 1, H318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STOT SE 3, H335</w:t>
            </w:r>
          </w:p>
        </w:tc>
      </w:tr>
      <w:tr>
        <w:trPr/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Kalcium-hidroxid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1305-62-0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215-137-3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15-20%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Arial Narrow" w:hAnsi="Arial Narrow"/>
                <w:sz w:val="16"/>
                <w:szCs w:val="16"/>
              </w:rPr>
              <w:t xml:space="preserve">irritáló, X </w:t>
            </w:r>
            <w:r>
              <w:rPr>
                <w:rFonts w:ascii="Arial Narrow" w:hAnsi="Arial Narrow"/>
                <w:sz w:val="16"/>
                <w:szCs w:val="16"/>
                <w:vertAlign w:val="subscript"/>
              </w:rPr>
              <w:t>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R37/38-41, szenzibilizáló, R43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Bőrirritáció. 2, H315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Eye Dam 1, H318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STOT SE 3, H335</w:t>
            </w:r>
          </w:p>
        </w:tc>
      </w:tr>
      <w:tr>
        <w:trPr/>
        <w:tc>
          <w:tcPr>
            <w:tcW w:w="10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Az R- és H-mondatok teljes szövegét lásd a 16. részben.</w:t>
            </w:r>
          </w:p>
        </w:tc>
      </w:tr>
    </w:tbl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4. SZAKASZ ELSŐSEGÉLYNYÚJTÁSI UTASÍTÁSOK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4.1. Az elsősegélynyújtás leírása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Arial Narrow" w:hAnsi="Arial Narrow"/>
          <w:b/>
          <w:sz w:val="20"/>
          <w:szCs w:val="20"/>
        </w:rPr>
        <w:t xml:space="preserve">Általános utasítások: </w:t>
      </w:r>
      <w:r>
        <w:rPr>
          <w:rFonts w:ascii="Arial Narrow" w:hAnsi="Arial Narrow"/>
          <w:sz w:val="20"/>
          <w:szCs w:val="20"/>
        </w:rPr>
        <w:t>Azonnali orvosi ellátás általában nem szükséges. Ha a készítmény kezelése után egészségügyi problémák merülnek fel, kétség esetén vagy tartós probléma esetén forduljon orvoshoz, és mutassa meg ezt a kártyát vagy címkét. Mindig gondoskodni kell az érintett személy nyugalmáról, és meg kell akadályozni a megfázást.</w:t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Ha az érintett személy eszméletlen, fektesse stabil helyzetbe az oldalára, enyhén döntve a fejét, semmiképpen ne adjon be semmit (folyadékot) szájon át. Az elsősegélynyújtóknak nincs szükségük egyéni védőfelszerelésre, de kerülniük kell a nedves keverékkel való érintkezést. Tájékoztassa az orvost az elsősegélynyújtásról.</w:t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Belélegzéskor:</w:t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Szakítsa meg az expozíciót, vigye a sérültet friss levegőre. A torokból és az orrüregből származó pornak spontán módon el kell távoznia. Ha az irritáció vagy hányinger, köhögés vagy egyéb tartós tünetek továbbra is fennállnak vagy később jelentkeznek, forduljon orvoshoz.</w:t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Bőrrel érintkezve: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Távolítsuk el a szennyezett ruházatot, cipőt. Ha a keverék száraz, távolítsa el a bőrről, és öblítse le bő vízzel. Nedves keverék esetén mossa le a bőrt bő vízzel. Ha bármilyen bőrirritáció vagy égés lép fel, forduljon orvoshoz.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Szembe kerülés esetén:</w:t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Ne dörzsölje a szemét, hogy ne sértse meg a szaruhártya mechanikai sérülésekkel. Vegye ki a kontaktlencséket, ha viseli. Döntse a fejet az érintett szem oldalára, nyissa ki szélesre a szemhéjakat, és azonnal öblítse ki a szeme(ke)t bő vízzel legalább 30 percig, hogy eltávolítsa az összes részecskét. Kerülje az érintett szembe jutást. Ha lehetséges, használjon izotóniás vizet (0,9% NaCl). Keressen fel foglalkozási megbetegedést vagy szemorvost.</w:t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Ivás közben: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Ne hánytassunk, öblítsük ki a szájat vízzel, adjunk sok vizet inni. Forduljon orvoshoz vagy forduljon a Toxikológiai Információs Központhoz.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4.2 A legfontosabb akut és késleltetett tünetek és hatások</w:t>
      </w:r>
    </w:p>
    <w:p>
      <w:pPr>
        <w:pStyle w:val="Normal"/>
        <w:spacing w:lineRule="auto" w:line="240" w:before="0" w:after="0"/>
        <w:rPr>
          <w:rFonts w:ascii="Arial Narrow" w:hAnsi="Arial Narrow"/>
          <w:i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(a keverék összetételéből adódóan feltételezhető hatások)</w:t>
      </w:r>
    </w:p>
    <w:p>
      <w:pPr>
        <w:pStyle w:val="Normal"/>
        <w:spacing w:lineRule="auto" w:line="240" w:before="0" w:after="0"/>
        <w:rPr>
          <w:rFonts w:ascii="Arial Narrow" w:hAnsi="Arial Narrow"/>
          <w:i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i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Bőrrel való érintkezés: A cementkeverék hosszan tartó érintkezés után irritáló hatást gyakorolhat a bőrre (nedves bőrön, pl. izzadáskor vagy a bőr nedvesítésekor), vagy ismételt érintkezés után bőrgyulladást okozhat. A bőrnek a nedves keverékkel való hosszan tartó érintkezése súlyos égési sérüléseket (maratást) okozhat, amely kezdetben fájdalommentesen alakul ki.</w:t>
      </w:r>
    </w:p>
    <w:p>
      <w:pPr>
        <w:pStyle w:val="Normal"/>
        <w:spacing w:lineRule="auto" w:line="240" w:before="0" w:after="0"/>
        <w:rPr>
          <w:rFonts w:ascii="Arial Narrow" w:hAnsi="Arial Narrow"/>
          <w:i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Szembe kerülés: A cementkeverékkel való szembe jutás súlyos és potenciálisan visszafordíthatatlan szemkárosodást okozhat.</w:t>
      </w:r>
    </w:p>
    <w:p>
      <w:pPr>
        <w:pStyle w:val="Normal"/>
        <w:spacing w:lineRule="auto" w:line="240" w:before="0" w:after="0"/>
        <w:rPr>
          <w:rFonts w:ascii="Arial Narrow" w:hAnsi="Arial Narrow"/>
          <w:i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Belégzés: A hosszú távú vagy ismételt belélegzés növeli a tüdőbetegségek kialakulásának kockázatát.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4.3. Azonnali orvosi ellátás és különleges ellátás jelzése</w:t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Vigye magával a biztonsági lapot, amikor orvoshoz látogat.</w:t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SZAKASZ 5. Tűzvédelmi óvintézkedések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5.1. Tűzoltó készülék</w:t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</w:r>
    </w:p>
    <w:p>
      <w:pPr>
        <w:pStyle w:val="Normal"/>
        <w:spacing w:lineRule="auto" w:line="240" w:before="0" w:after="0"/>
        <w:rPr/>
      </w:pPr>
      <w:r>
        <w:rPr>
          <w:rFonts w:ascii="Arial Narrow" w:hAnsi="Arial Narrow"/>
          <w:b/>
          <w:sz w:val="20"/>
          <w:szCs w:val="20"/>
        </w:rPr>
        <w:t>Megfelelő oltóanyagok:</w:t>
      </w:r>
      <w:r>
        <w:rPr/>
        <w:t xml:space="preserve"> </w:t>
      </w:r>
      <w:r>
        <w:rPr>
          <w:rFonts w:ascii="Arial Narrow" w:hAnsi="Arial Narrow"/>
          <w:sz w:val="20"/>
          <w:szCs w:val="20"/>
        </w:rPr>
        <w:t>A termék nem gyúlékony. A környező tüzek oltásához a környezetet figyelembe véve válasszon oltóanyagot.</w:t>
      </w:r>
    </w:p>
    <w:p>
      <w:pPr>
        <w:pStyle w:val="Normal"/>
        <w:spacing w:lineRule="auto" w:line="240" w:before="0" w:after="0"/>
        <w:rPr/>
      </w:pPr>
      <w:r>
        <w:rPr>
          <w:rFonts w:ascii="Arial Narrow" w:hAnsi="Arial Narrow"/>
          <w:b/>
          <w:sz w:val="20"/>
          <w:szCs w:val="20"/>
        </w:rPr>
        <w:t xml:space="preserve">Nem megfelelő oltóanyag: </w:t>
      </w:r>
      <w:r>
        <w:rPr/>
        <w:t xml:space="preserve">Vízsugár </w:t>
      </w:r>
      <w:r>
        <w:rPr>
          <w:rFonts w:ascii="Arial Narrow" w:hAnsi="Arial Narrow"/>
          <w:sz w:val="20"/>
          <w:szCs w:val="20"/>
        </w:rPr>
        <w:t>.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5.2. Az anyagból vagy keverékből származó különleges biztonság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Nem ismertek. A keverék nem gyúlékony és nem robbanásveszélyes, nem támogatja más anyagok égését.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5.3. Tanácsok tűzoltóknak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Használjon független légzőkészüléket és általában tűzoltó felszerelést (kerülje a bőrrel és szemmel való érintkezést). Meg kell akadályozni, hogy az oltóvíz vagy keverék csatornába és vízfolyásokba kerüljön.</w:t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6. SZAKASZ. INTÉZKEDÉSEK BALESET ESETÉN</w:t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6.1 Személyi védelmi intézkedések, védőfelszerelések és vészhelyzeti eljárások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Akadályozza meg, hogy a kiömlés következményeinek elhárításában részt nem vevő személyek olyan helyeken mozogjanak, ahol a kiömlött termék szennyezheti őket. Biztosítson huzatmentes szellőzést az épületeken belül. Tisztításkor olyan eljárásokat válasszon, amelyek nem növelik a por aeroszol képződését (lásd 6.3 pont). Nedves eljárások alkalmazásakor a tisztítatlan padló vagy aljzat csúszóssá válhat. Munkavégzés közben használja az ajánlott egyéni védőfelszerelést (lásd 8. fejezet).</w:t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6.2 Intézkedések a környezet védelmére</w:t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Akadályozza meg a kiömlött anyag szivárgását és terjedését. Ha lehetséges, tartsa szárazon az anyagot. Ha lehetséges, takarja le a területet, hogy elkerülje a szükségtelen porveszélyt. Akadályozzuk meg az ellenőrizetlen szivárgást a vizekbe és a csatornába (pH emelkedés). A vízi utakba való minden nagyobb kiömlést jelenteni kell a Környezetvédelmi Ügynökségnek vagy más illetékes hatóságnak.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6.3 A területi elhatárolás és a szennyezésmentesítés módszerei és anyagai</w:t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 kiömlött száraz anyagot mechanikusan gyűjtsük össze, és ha nem szennyezett, használjuk fel újra. Használjon száraz tisztítási módszereket, például porszívózást vagy porszívózást (légszűrők használatával). Ne használjon sűrített levegőt.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Lehetőség van nedves tisztítás (vízpermet vagy köd) alkalmazására is, megakadályozni a por felemelkedését, letörölni a port és eltávolítani a keletkező iszapot. Ugyanígy távolítsa el a nedves keveréket. Hagyja az iszapot megszilárdulni, és távolítsa el a 13. szakasz szerint.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6.4 Hivatkozás más részekre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Az egyéni védőfelszereléseket lásd a 8. szakaszban.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Lásd a 13. fejezetet a hulladékkezeléssel kapcsolatban.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7. SZAKASZ. KEZELÉS ÉS TÁROLÁS</w:t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7.1 A biztonságos kezelésre irányuló óvintézkedések</w:t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Olvassa el a használati utasítást. A száraz keverék kezelésekor ne lélegezze be a port, jól szellőző helyen dolgozzon, használjon védőfelszerelést a por belélegzése ellen (lásd 8. fejezet). Száraz vagy nedves keverékkel végzett munka során személyi védőfelszerelést használva kerülje a szemmel és bőrrel való érintkezést (lásd a 8. pontot).</w:t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Tartsa tisztán a munkaeszközöket azokon a helyeken, ahol a kezével érintkezik. Olyannyira szennyezett munkaruházat és védőmunkaeszköz, hogy a keverék áthatol a bőr felszínén, vagy nedvesség szivárog a védőeszköz, munkaruha belsejébe, mielőbb cserélje ki tiszta és szárazra.</w:t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Munka közben ne egyen, igyon és ne dohányozzon, tartsa be az általános biztonsági és higiéniai előírásokat a vegyszerekkel végzett munka során.</w:t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7.2 Utasítások az anyagok és keverékek biztonságos tárolására, beleértve az esetleges összeférhetetlenséget</w:t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Eredeti zárt csomagolásban, száraz helyen, nedvességtől védve, élelmiszertől, italtól és takarmánytól elkülönítve tárolandó. A termék esetleges lefagyása nem befolyásolja annak működését. Gyermekek elől elzárva tárolandó.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7.3 Meghatározott végfelhasználás / Meghatározott végfelhasználás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nincs megemlítve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SZAKASZ 8. AZ EXPOZÍCIÓ ELLENŐRZÉSE / SZEMÉLYI VÉDELEM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8.1 szabályozási paraméterek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Arial Narrow" w:hAnsi="Arial Narrow"/>
          <w:sz w:val="20"/>
          <w:szCs w:val="20"/>
        </w:rPr>
        <w:t xml:space="preserve">A keverék olyan anyagokat tartalmaz, amelyekre a Szlovák Köztársaságban a következő legmagasabb megengedett koncentrációk vannak beállítva a munkahelyi légkörben a 2001/2003. A módosított 361/2007 </w:t>
      </w:r>
      <w:r>
        <w:rPr>
          <w:rFonts w:ascii="Arial Narrow" w:hAnsi="Arial Narrow"/>
          <w:b/>
          <w:sz w:val="20"/>
          <w:szCs w:val="20"/>
        </w:rPr>
        <w:t>.</w:t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</w:r>
    </w:p>
    <w:tbl>
      <w:tblPr>
        <w:tblW w:w="935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855"/>
        <w:gridCol w:w="1887"/>
        <w:gridCol w:w="1871"/>
        <w:gridCol w:w="1871"/>
        <w:gridCol w:w="1871"/>
      </w:tblGrid>
      <w:tr>
        <w:trPr/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b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Kémiai név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b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CAS szám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b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PELc (mg/m3)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b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NPK-P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b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jegyzet</w:t>
            </w:r>
          </w:p>
        </w:tc>
      </w:tr>
      <w:tr>
        <w:trPr/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Portland cement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65997-15-1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Kalcium-hidroxid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1305-62-0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Munkahelyi expozíciós határértékek a 4. sz. 2006/15 / EK - nem szerepel</w:t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A biológiai expozíciós vizsgálatok indikátorainak határértékeit nem határozza meg a 2001/2003. 432/2003 Coll.</w:t>
      </w:r>
    </w:p>
    <w:p>
      <w:pPr>
        <w:pStyle w:val="Normal"/>
        <w:spacing w:lineRule="auto" w:line="240" w:before="0" w:after="0"/>
        <w:rPr/>
      </w:pPr>
      <w:r>
        <w:rPr>
          <w:rFonts w:ascii="Arial Narrow" w:hAnsi="Arial Narrow"/>
          <w:b/>
          <w:sz w:val="20"/>
          <w:szCs w:val="20"/>
        </w:rPr>
        <w:t xml:space="preserve">DNEL és PNEC értékek: </w:t>
      </w:r>
      <w:r>
        <w:rPr>
          <w:rFonts w:ascii="Arial Narrow" w:hAnsi="Arial Narrow"/>
          <w:sz w:val="20"/>
          <w:szCs w:val="20"/>
        </w:rPr>
        <w:t>még nem állnak rendelkezésre</w:t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8.2. Az expozíció korlátozása</w:t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Az expozíció korlátozása érdekében meg kell akadályozni a porképződést. Ezenkívül ajánlott megfelelő védőfelszerelés használata. Szemvédő eszközöket (például védőszemüveget vagy arcvédőt) kell használni, ha a használat jellege és típusa nem zárja ki a szemmel való esetleges érintkezést (pl. zárt folyamat), további arcvédelmet, védőruházatot és védőcipőt.</w:t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8.2.1 Megfelelő műszaki intézkedések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Biztosítson megfelelő szellőzést a munkahelyen. vagy szellőzés. Ha ez nem lehetséges, használjon személyi védőfelszerelést a légzésvédelem érdekében. A száraz keverékek kezelését és a munkahely tisztítását olyan technikákkal kell biztosítani, amelyek nem növelik a porkoncentrációt a munkahelyi légkörben. Építési tárgyakon kívül száraz keverékekkel végzett munka során szükséges, hogy szél esetén a dolgozó a porszemcsék levegőbe való szivárgási helyétől a szél áramlási irányával ellentétesen mozogjon. Abban az esetben, ha a termék kezelése során fennáll a szemmel való érintkezés lehetősége, ajánlatos egy elérhető vízforrást biztosítani a gyors szemmosáshoz.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8.2.2. Egyéni védőintézkedések, beleértve az egyéni védőfelszerelést</w:t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a) Légzésvédelem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 száraz keverékkel ellátott csomagolás felnyitásakor, a csomagolásból való kiöntésekor vagy a száraz keverék munkaedényekbe való áthelyezésekor, valamint a keverés kezdeti fázisában, amikor a száraz keverékhez vizet adunk, maszk vagy légzőkészülék használata szükséges. legalább 10-es védelmi tényezővel rendelkező porszűrő.</w:t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b) Szem- és arcvédelem</w:t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Ha a száraz keverékkel végzett munka során nem használ teljes arcot védő maszkot, szoros védőszemüveget kell használni, hogy megakadályozza a porszemcsék szembe jutását. Nedves habarcs vagy ragasztó kezelésekor is szükséges védőszemüveg használata, ahol fennáll az anyag kifröccsenésének veszélye. Különösen akkor, ha a habarcsot fejmagasság felett dobja vagy hordja fel.</w:t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c) Bőrvédelem</w:t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Mivel mind a száraz, mind a nedves keverékek irritálják a bőrt, az expozíciót minimálisra kell csökkenteni, amennyire technikailag lehetséges. A munkavégzéshez védőkesztyű, szabványos teljes bőrt védő munkaruha, szűk ujjú és nadrág, por bejutását megakadályozó, maró- és porálló cipő viselése szükséges.</w:t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8.2.3 A környezetszennyezés korlátozása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Ügyeljen arra, hogy a csomagolás zárva legyen a tárolás, kezelés és szállítás során. Biztosítsa a tárolási helyeket, nehogy a termék a környező környezetbe kerüljön (csatornába, vízbe és talajba – lásd a 6.2 pontot). A termékkel szennyezett víz pH-ja, amely nagy mennyiségben kerülhet a szennyvízrendszerbe, nem haladhatja meg a 9 értéket.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 munkahelyet és a raktárakat szerelje fel a véletlen kiömlés elhárítására szolgáló eszközökkel.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9. SZAKASZ. FIZIKAI ÉS KÉMIAI TULAJDONSÁGOK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ind w:left="567" w:hanging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Fizikai állapot: </w:t>
        <w:tab/>
        <w:tab/>
        <w:tab/>
        <w:t>laza szilárd anyag, por</w:t>
      </w:r>
    </w:p>
    <w:p>
      <w:pPr>
        <w:pStyle w:val="Normal"/>
        <w:spacing w:lineRule="auto" w:line="240" w:before="0" w:after="0"/>
        <w:ind w:left="567" w:hanging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Szín: </w:t>
        <w:tab/>
        <w:tab/>
        <w:tab/>
        <w:tab/>
        <w:t>szürke és fehér</w:t>
      </w:r>
    </w:p>
    <w:p>
      <w:pPr>
        <w:pStyle w:val="Normal"/>
        <w:spacing w:lineRule="auto" w:line="240" w:before="0" w:after="0"/>
        <w:ind w:left="567" w:hanging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Szag: </w:t>
        <w:tab/>
        <w:tab/>
        <w:tab/>
        <w:tab/>
        <w:t>szagtalan</w:t>
      </w:r>
    </w:p>
    <w:p>
      <w:pPr>
        <w:pStyle w:val="Normal"/>
        <w:spacing w:lineRule="auto" w:line="240" w:before="0" w:after="0"/>
        <w:ind w:left="567" w:hanging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pH-érték: </w:t>
        <w:tab/>
        <w:tab/>
        <w:tab/>
        <w:t>nem ismert</w:t>
      </w:r>
    </w:p>
    <w:p>
      <w:pPr>
        <w:pStyle w:val="Normal"/>
        <w:spacing w:lineRule="auto" w:line="240" w:before="0" w:after="0"/>
        <w:ind w:left="567" w:hanging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Olvadáspont/fagyáspont </w:t>
        <w:tab/>
        <w:tab/>
        <w:t>nem ismert</w:t>
      </w:r>
    </w:p>
    <w:p>
      <w:pPr>
        <w:pStyle w:val="Normal"/>
        <w:spacing w:lineRule="auto" w:line="240" w:before="0" w:after="0"/>
        <w:ind w:left="567" w:hanging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Forráspont: </w:t>
        <w:tab/>
        <w:tab/>
        <w:tab/>
        <w:tab/>
        <w:t>nem ismert</w:t>
      </w:r>
    </w:p>
    <w:p>
      <w:pPr>
        <w:pStyle w:val="Normal"/>
        <w:spacing w:lineRule="auto" w:line="240" w:before="0" w:after="0"/>
        <w:ind w:left="567" w:hanging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Lobbanáspont: </w:t>
        <w:tab/>
        <w:tab/>
        <w:tab/>
        <w:t>nem ismert</w:t>
      </w:r>
    </w:p>
    <w:p>
      <w:pPr>
        <w:pStyle w:val="Normal"/>
        <w:spacing w:lineRule="auto" w:line="240" w:before="0" w:after="0"/>
        <w:ind w:left="567" w:hanging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Párolgási sebesség: </w:t>
        <w:tab/>
        <w:tab/>
        <w:tab/>
        <w:t>nem ismert</w:t>
      </w:r>
    </w:p>
    <w:p>
      <w:pPr>
        <w:pStyle w:val="Normal"/>
        <w:spacing w:lineRule="auto" w:line="240" w:before="0" w:after="0"/>
        <w:ind w:left="567" w:hanging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Gyúlékonyság: </w:t>
        <w:tab/>
        <w:tab/>
        <w:tab/>
        <w:tab/>
        <w:t>nem ismert</w:t>
      </w:r>
    </w:p>
    <w:p>
      <w:pPr>
        <w:pStyle w:val="Normal"/>
        <w:spacing w:lineRule="auto" w:line="240" w:before="0" w:after="0"/>
        <w:ind w:left="567" w:hanging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Robbanási tulajdonságok: </w:t>
        <w:tab/>
        <w:tab/>
        <w:tab/>
        <w:t>nem robbanásveszélyes, felső határ - nem ismert, alsó határ - nem ismert</w:t>
      </w:r>
    </w:p>
    <w:p>
      <w:pPr>
        <w:pStyle w:val="Normal"/>
        <w:spacing w:lineRule="auto" w:line="240" w:before="0" w:after="0"/>
        <w:ind w:left="567" w:hanging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Oxidáló tulajdonságok: </w:t>
        <w:tab/>
        <w:tab/>
        <w:tab/>
        <w:t>nem ismert</w:t>
      </w:r>
    </w:p>
    <w:p>
      <w:pPr>
        <w:pStyle w:val="Normal"/>
        <w:spacing w:lineRule="auto" w:line="240" w:before="0" w:after="0"/>
        <w:ind w:left="567" w:hanging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Gőzfeszültség: </w:t>
        <w:tab/>
        <w:tab/>
        <w:tab/>
        <w:tab/>
        <w:t>nem ismert</w:t>
      </w:r>
    </w:p>
    <w:p>
      <w:pPr>
        <w:pStyle w:val="Normal"/>
        <w:spacing w:lineRule="auto" w:line="240" w:before="0" w:after="0"/>
        <w:ind w:left="567" w:hanging="0"/>
        <w:rPr/>
      </w:pPr>
      <w:r>
        <w:rPr>
          <w:rFonts w:ascii="Arial Narrow" w:hAnsi="Arial Narrow"/>
          <w:sz w:val="20"/>
          <w:szCs w:val="20"/>
        </w:rPr>
        <w:t xml:space="preserve">Relatív sűrűség (18 </w:t>
      </w:r>
      <w:r>
        <w:rPr>
          <w:rFonts w:ascii="Arial Narrow" w:hAnsi="Arial Narrow"/>
          <w:sz w:val="20"/>
          <w:szCs w:val="20"/>
          <w:vertAlign w:val="superscript"/>
        </w:rPr>
        <w:t xml:space="preserve">o </w:t>
      </w:r>
      <w:r>
        <w:rPr>
          <w:rFonts w:ascii="Arial Narrow" w:hAnsi="Arial Narrow"/>
          <w:sz w:val="20"/>
          <w:szCs w:val="20"/>
        </w:rPr>
        <w:t xml:space="preserve">C-on): </w:t>
        <w:tab/>
        <w:tab/>
        <w:t>nem ismert</w:t>
      </w:r>
    </w:p>
    <w:p>
      <w:pPr>
        <w:pStyle w:val="Normal"/>
        <w:spacing w:lineRule="auto" w:line="240" w:before="0" w:after="0"/>
        <w:ind w:left="567" w:hanging="0"/>
        <w:rPr/>
      </w:pPr>
      <w:r>
        <w:rPr>
          <w:rFonts w:ascii="Arial Narrow" w:hAnsi="Arial Narrow"/>
          <w:sz w:val="20"/>
          <w:szCs w:val="20"/>
        </w:rPr>
        <w:t xml:space="preserve">Vízben való oldhatóság (18 </w:t>
      </w:r>
      <w:r>
        <w:rPr>
          <w:rFonts w:ascii="Arial Narrow" w:hAnsi="Arial Narrow"/>
          <w:sz w:val="20"/>
          <w:szCs w:val="20"/>
          <w:vertAlign w:val="superscript"/>
        </w:rPr>
        <w:t xml:space="preserve">o </w:t>
      </w:r>
      <w:r>
        <w:rPr>
          <w:rFonts w:ascii="Arial Narrow" w:hAnsi="Arial Narrow"/>
          <w:sz w:val="20"/>
          <w:szCs w:val="20"/>
        </w:rPr>
        <w:t xml:space="preserve">C-on): </w:t>
        <w:tab/>
        <w:t>Vízben gyengén oldódik</w:t>
      </w:r>
    </w:p>
    <w:p>
      <w:pPr>
        <w:pStyle w:val="Normal"/>
        <w:spacing w:lineRule="auto" w:line="240" w:before="0" w:after="0"/>
        <w:ind w:left="567" w:hanging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Zsírban való oldhatóság: </w:t>
        <w:tab/>
        <w:tab/>
        <w:t>nem ismert</w:t>
      </w:r>
    </w:p>
    <w:p>
      <w:pPr>
        <w:pStyle w:val="Normal"/>
        <w:spacing w:lineRule="auto" w:line="240" w:before="0" w:after="0"/>
        <w:ind w:left="567" w:hanging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Megoszlási hányados n-oktanol/víz: </w:t>
        <w:tab/>
        <w:t>nem ismert</w:t>
      </w:r>
    </w:p>
    <w:p>
      <w:pPr>
        <w:pStyle w:val="Normal"/>
        <w:spacing w:lineRule="auto" w:line="240" w:before="0" w:after="0"/>
        <w:ind w:left="567" w:hanging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Viszkozitás: </w:t>
        <w:tab/>
        <w:tab/>
        <w:tab/>
        <w:tab/>
        <w:t>nem ismert</w:t>
      </w:r>
    </w:p>
    <w:p>
      <w:pPr>
        <w:pStyle w:val="Normal"/>
        <w:spacing w:lineRule="auto" w:line="240" w:before="0" w:after="0"/>
        <w:ind w:left="567" w:hanging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Gőzsűrűség: </w:t>
        <w:tab/>
        <w:tab/>
        <w:tab/>
        <w:t>nem ismert</w:t>
      </w:r>
    </w:p>
    <w:p>
      <w:pPr>
        <w:pStyle w:val="Normal"/>
        <w:spacing w:lineRule="auto" w:line="240" w:before="0" w:after="0"/>
        <w:ind w:left="567" w:hanging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Párolgási sebesség: </w:t>
        <w:tab/>
        <w:tab/>
        <w:t>nem ismert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10. SZAKASZ. STABILITÁS ÉS REAKCIÓKÉPESSÉG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10.1 Reakciókészség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Vízzel keverve erősen lúgos keverék képződik, amely fokozatosan megkeményedik. Miután az egész keverék megszilárdult, stabil tömeg képződik.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10.2 Kémiai stabilitás</w:t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Normál használat mellett a termék stabil, ha az előírásoknak megfelelően tárolják és kezelik. Védje a keveréket a víz és a levegő páratartalmától. A bomlás nem következik be. Tartsa a terméket szárazon. Ki kell zárni az összeférhetetlen anyagokkal való érintkezést.</w:t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 nedves keverék lúgos/lúgos és reagál savakkal, ammóniumsókkal, alumíniummal vagy más nem nemesfémekkel. A portlandcement feloldódik fluorsavban, és maró szilícium-tetrafluorid gázt képez. A portlandcementek vízzel reagálva szilikátokat és kalcium-hidroxidot képeznek. A cementekben lévő szilikátok reakcióba lépnek erős oxidálószerekkel, például fluorral, bór-fluoriddal, klór-fluoriddal, mangán-fluoriddal és oxigén-difluoriddal.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10.3 Veszélyes reakciók lehetősége</w:t>
      </w:r>
    </w:p>
    <w:p>
      <w:pPr>
        <w:pStyle w:val="Normal"/>
        <w:spacing w:lineRule="auto" w:line="240" w:before="0" w:after="0"/>
        <w:rPr>
          <w:rFonts w:ascii="Arial Narrow" w:hAnsi="Arial Narrow"/>
          <w:color w:val="000000"/>
          <w:sz w:val="20"/>
          <w:szCs w:val="20"/>
          <w:lang w:eastAsia="cs-CZ"/>
        </w:rPr>
      </w:pPr>
      <w:r>
        <w:rPr>
          <w:rFonts w:ascii="Arial Narrow" w:hAnsi="Arial Narrow"/>
          <w:color w:val="000000"/>
          <w:sz w:val="20"/>
          <w:szCs w:val="20"/>
          <w:lang w:eastAsia="cs-CZ"/>
        </w:rPr>
        <w:t>Kerülni kell az alumíniumpor ellenőrizetlen használatát, ha cementtel és kalcium-hidroxiddal reagál, hidrogén képződik/fejlődik. A kalcium-hidroxid exoterm reakcióba lép savakkal. 580 °C feletti melegítés után a kalcium-hidroxid lebomlik, és kalcium-oxidot (CaO) és vizet (H2O) képez: Ca (OH) 2 -&gt; CaO + H2O. A kalcium-oxid vízzel reagálva hőt termel. Ez veszélyes lehet a gyúlékony anyagokra.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10.4 Kerülendő körülmények: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Tárolás közben minimálisra kell csökkenteni a levegő és a nedvesség hatását, ami a termék minőségének romlását (csomósodást) okozhatja.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10.5 Nem összeférhető anyagok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Savak, ammóniumsók, alumínium vagy más nem nemesfémek.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10.6 Veszélyes bomlástermékek: </w:t>
      </w:r>
      <w:r>
        <w:rPr>
          <w:rFonts w:ascii="Arial Narrow" w:hAnsi="Arial Narrow"/>
          <w:sz w:val="20"/>
          <w:szCs w:val="20"/>
        </w:rPr>
        <w:t>el kell dobni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SZAKASZ 11. TOXIKOLÓGIAI INFORMÁCIÓK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11.1. A toxikológiai hatásokra vonatkozó információk:</w:t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Emberi tapasztalat: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 keverék vízzel, ill nedvességgel erősen lúgos, irritáló hatású keverék képződik. A termék por formájában és vízzel keverve irritálja a kötőhártyát és a bőrt. A por légúti irritációt okozhat.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 nagy koncentrációjú por irritálja a légzőszerveket (köhögés, tüsszögés, légszomj).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Szembe kerülve a keverék irritáló hatású, nagymértékű beavatkozás vagy elégtelen kezelés esetén (azonnali, több perces szemöblítés szükséges) szemgyulladás léphet fel egészen vegyi égési sérülésekig, ami maradandó szemkárosodáshoz (vaksághoz) vezethet. .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 túlnyomórészt nedves keverék védtelen bőrrel való ismételt érintkezése bőrirritációt (irritatív kontakt dermatitist) okozhat. A dermatitis a gyulladt bőr viszketésével nyilvánul meg. A bőr vörösnek, hámlónak és repedezettnek tűnik.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Az irritáló kontakt dermatitist a gyógyszer fizikai tulajdonságainak (nedvesség, magas lúgosság és kopás) kombinációja okozza.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 nedves cement/cement keverék hosszan tartó érintkezése a bőrrel egyidejű súrlódással súlyos égési sérüléseket okozhat.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Az expozíció által súlyosbított egészségügyi állapotok A cementpor belélegzése ronthatja a meglévő légúti betegségeket vagy egészségügyi állapotokat, mint például a tüdőtágulat (tüdőduzzanat) vagy az asztma, illetve a meglévő bőr- vagy szembetegségek.</w:t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11.2. Tájékoztatás a toxikológiai hatásokról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Akut toxicitás az összetevőkre: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Kalcium-hidroxid, CAS 1305-62-0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Orális: LD50 &gt; 2000 mg/kg (OECD 425, patkány)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Bőrön keresztül: LD50 &gt; 2500 mg/kg (OECD 402, nyúl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Belélegzés: nincs adat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 keverék besorolásakor figyelembe vették a nedves keverék pH-értékét (11 - 13,5), a keverék összetevőinek általános koncentrációs határait és az egyes komponensek biztonsági adatlapján szereplő információkat a szakirodalomra hivatkozással.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a) akut toxicitás: az egyes összetevők tulajdonságai alapján a keverék nem felel meg ennek az osztályozásnak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b) irritáció: az egyes komponensek tulajdonságai alapján a keveréket osztályozták: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Súlyos szemkárosodás, 1. kategória – Eye Dam. 1 (H318)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Bőrirritáció, 2. kategória - Skin Irrit. 2 (H315)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c) maró hatás: nincs meghatározva a keverékre; az egyes komponensek tulajdonságai alapján a keverék nem felel meg ennek a besorolásnak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d) szenzibilizáció: a keverékre nincs meghatározva; az egyes komponensek tulajdonságai alapján a keverék nem felel meg ennek a besorolásnak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e) ismételt dózisú toxicitás: a keverékre nincs meghatározva; az egyes komponensek tulajdonságai alapján a keverék nem felel meg ennek a besorolásnak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f) rákkeltő hatás: a keverékre nincs meghatározva; az egyes komponensek tulajdonságai alapján a keverék nem felel meg ennek a besorolásnak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g) mutagenitás: a keverékre nincs meghatározva; az egyes komponensek tulajdonságai alapján a keverék nem felel meg ennek a besorolásnak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h) reprodukciós toxicitás: a keverékre nincs meghatározva; az egyes komponensek tulajdonságai alapján a keverék nem felel meg ennek a besorolásnak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i) Toxicitás egy adott célszervre – egyszeri expozíció: az egyes összetevők tulajdonságai alapján a keveréket osztályozták: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Célszervi toxicitás - egyszeri expozíció, légúti irritáció - STOT SE 3 (H335)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j) Toxicitás egy adott célszervre - ismétlődő expozíció: a keverékre nincs meghatározva; az egyes komponensek tulajdonságai alapján a keverék nem felel meg ennek a besorolásnak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k) Aspirációs veszély: a keverékre nincs meghatározva; az egyes komponensek tulajdonságai alapján a keverék nem felel meg ennek a besorolásnak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12. SZAKASZ ÖKOLÓGIAI INFORMÁCIÓK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 termék vízzel való összekeverése növeli a pH-értéket (11-13,5), a keverék erősen lúgos, és rövid távú veszélyt jelenthet a vízi élőlényekre. A pH-érték a termék vízben lévő koncentrációjától függ. A pH-érték gyorsan csökken a hígítás miatt. A termék megkeményedése, vízzel vagy levegő páratartalmával való érintkezése után a termék még rövid ideig sem jelent veszélyt a vízi élőlényekre. Akadályozza meg a talaj szennyeződését és a felszíni vagy talajvízbe, csatornába, vízi utakba és a környezetbe való kibocsátását.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12.1 Toxicitás – akut és krónikus hatások: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keverékre nincs meghatározva, az egyes komponensek jellege miatt nem várható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Kalcium-hidroxid, CAS 1305-62-0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LC50 (96h) édesvízi halakhoz: 50,6 mg/l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LC50 (96h) tengeri halak esetében: 457 mg/l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EC50 (48h) édesvízi gerincteleneknél: 49,1 mg/l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LC50 (96h) tengeri gerincteleneknél: 158 mg/l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EC50 (72h) édesvízi algáknál: 184,57 mg/l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NOEC (72h) hínár esetén: 48 mg/l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NOEC (14d) tengeri gerincteleneknél: 32 mg/l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EC10/LC10 vagy NOEC talaj mikroorganizmusokra: 2000 mg/kg száraz talaj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EC10/LC10 vagy NOEC talaj mikroorganizmusokra: 12000 mg/kg száraz talaj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NOEC (21d) peo szárazföldi növények: 1080 mg/kg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Magas koncentrációban kalcium-hidroxidot használnak a hulladékiszap fertőtlenítésére a hőmérséklet és a pH növelésével.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Akut hatás a pH változáson keresztül - bár kalcium-hidroxidot használnak a víz savasságának beállítására, a víztartalom több mint 1 g/l-rel növelhető, ami veszélyes a vízi élővilágra. A pH &gt; 12 gyorsan csökken a hígítás és a karbonáttá alakulás következtében.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rPr/>
      </w:pPr>
      <w:r>
        <w:rPr>
          <w:rFonts w:ascii="Arial Narrow" w:hAnsi="Arial Narrow"/>
          <w:b/>
          <w:sz w:val="20"/>
          <w:szCs w:val="20"/>
        </w:rPr>
        <w:t>12.2</w:t>
      </w:r>
      <w:r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 xml:space="preserve">Perzisztencia és lebonthatóság: </w:t>
      </w:r>
      <w:r>
        <w:rPr>
          <w:rFonts w:ascii="Arial Narrow" w:hAnsi="Arial Narrow"/>
          <w:sz w:val="20"/>
          <w:szCs w:val="20"/>
        </w:rPr>
        <w:t>a keverékre nincs meghatározva, az egyes komponensek jellege miatt nem várható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rPr/>
      </w:pPr>
      <w:r>
        <w:rPr>
          <w:rFonts w:ascii="Arial Narrow" w:hAnsi="Arial Narrow"/>
          <w:b/>
          <w:sz w:val="20"/>
          <w:szCs w:val="20"/>
        </w:rPr>
        <w:t>12.3</w:t>
      </w:r>
      <w:r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>Bioakkumulációs potenciál:</w:t>
      </w:r>
      <w:r>
        <w:rPr/>
        <w:t xml:space="preserve"> </w:t>
      </w:r>
      <w:r>
        <w:rPr>
          <w:rFonts w:ascii="Arial Narrow" w:hAnsi="Arial Narrow"/>
          <w:sz w:val="20"/>
          <w:szCs w:val="20"/>
        </w:rPr>
        <w:t>keverékre nincs meghatározva, az egyes komponensek jellege miatt nem várható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Arial Narrow" w:hAnsi="Arial Narrow"/>
          <w:b/>
          <w:sz w:val="20"/>
          <w:szCs w:val="20"/>
        </w:rPr>
        <w:t>12.4</w:t>
      </w:r>
      <w:r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>Mobilitás a talajban:</w:t>
      </w:r>
      <w:r>
        <w:rPr/>
        <w:t xml:space="preserve"> </w:t>
      </w:r>
      <w:r>
        <w:rPr>
          <w:rFonts w:ascii="Arial Narrow" w:hAnsi="Arial Narrow"/>
          <w:sz w:val="20"/>
          <w:szCs w:val="20"/>
        </w:rPr>
        <w:t>a keverékre nincs meghatározva, az egyes komponensek jellege miatt nem várható; a termék vízzel való keményítése után stabil szilárd termék képződik. A kalcium-hidroxid önmagában alig oldódik vízben, és a legtöbb talajban alacsony mobilitást mutat. Többek között műtrágyaként használják.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rPr/>
      </w:pPr>
      <w:r>
        <w:rPr>
          <w:rFonts w:ascii="Arial Narrow" w:hAnsi="Arial Narrow"/>
          <w:b/>
          <w:sz w:val="20"/>
          <w:szCs w:val="20"/>
        </w:rPr>
        <w:t>12.5</w:t>
      </w:r>
      <w:r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 xml:space="preserve">A PBT és a vPvB értékelés eredményei: </w:t>
      </w:r>
      <w:r>
        <w:rPr>
          <w:rFonts w:ascii="Arial Narrow" w:hAnsi="Arial Narrow"/>
          <w:sz w:val="20"/>
          <w:szCs w:val="20"/>
        </w:rPr>
        <w:t>nem tartalmaz PBT vagy vPvB anyagokat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12.6</w:t>
      </w:r>
      <w:r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 xml:space="preserve">Egyéb káros hatások: </w:t>
      </w:r>
      <w:r>
        <w:rPr>
          <w:rFonts w:ascii="Arial Narrow" w:hAnsi="Arial Narrow"/>
          <w:sz w:val="20"/>
          <w:szCs w:val="20"/>
        </w:rPr>
        <w:t>nincs adat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13. SZAKASZ. ÁRTALMATLANÍTÁSI UTASÍTÁSOK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13.1 Hulladékkezelési módszerek (keverékmaradványok és vízzel szennyezett keverékek)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 keverék és a szennyezett csomagolás eltávolításának megfelelő módszerei Mind a keveréket (maradékokat), mind az üres csomagolást a hatályos jogszabályok szerint veszélyes hulladékként kell ártalmatlanítani az önkormányzat által a veszélyes hulladékok elhelyezésére kijelölt helyen, vagy ártalmatlanításra át kell adni. szakmailag képzett cég. A hulladékot a környező környezetbe való szivárgás ellen biztosítani kell.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Por: 10 13 06 Szilárd szennyező anyagok és por (kivéve a 10 13 12 és 10 13 13 szám alatt felsorolt hulladékokat)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Fel nem használt termék: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10 13 11 a 10 13 09-től és a 10 13 10-től eltérő cementalapú kompozit anyagokból származó hulladék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10 13 14 Hulladékbeton és betoniszap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Termék vízzel keverve (és megszilárdulva): 17 01 01 Beton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Csomagolás: az adott csomagolás típusa szerint, 15 01 xx csomagolási csoport (főleg 15 01 01-15 01 03)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A hulladékra vonatkozó törvényi előírások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számú törvény 185/2001 Coll. a hulladékokról, a módosított szövegről és annak végrehajtási rendeleteiről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számú törvény A csomagolásról szóló 477/2001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14. SZAKASZ. ELŐKÉSZÍTÉSI INFORMÁCIÓK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 termékek nem a 22. §, bek. (1) A 111/1994. módosított veszélyes áruk közúti szállításáról, és nem vonatkoznak rájuk a Veszélyes Áruk Közúti Szállításáról szóló Európai Megállapodás (ADR), illetve a Veszélyes Áruk Nemzetközi Vasúti Szállításáról szóló Szabályzat (RID) rendelkezései.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14.1 UN-szám: nem alkalmazható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14.2 Az ENSZ szerinti megfelelő szállítási név: nem alkalmazható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14.3 Szállítási veszélyességi osztály/osztályok: nem alkalmazható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14.4 Csomagolási csoport: nem alkalmazható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14.5 Környezeti veszély: nem alkalmazható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14.6 A felhasználót érintő különleges biztonsági intézkedések: nem alkalmazható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14.7 Ömlesztett rakomány szállítása a MARPOL Egyezmény II. melléklete és az IBC kódex szerint: nem alkalmazható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15. SZAKASZ. SZABÁLYOZÁSI INFORMÁCIÓK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rPr/>
      </w:pPr>
      <w:r>
        <w:rPr>
          <w:rFonts w:ascii="Arial Narrow" w:hAnsi="Arial Narrow"/>
          <w:b/>
          <w:sz w:val="20"/>
          <w:szCs w:val="20"/>
        </w:rPr>
        <w:t>15.1</w:t>
      </w:r>
      <w:r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>Az anyagra vagy keverékre vonatkozó biztonsági, egészségügyi és környezetvédelmi előírások / jogszabályok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sz. EP és Tanács (EK) rendelete. 1907/2006, a vegyi anyagok regisztrációjáról, értékeléséről, engedélyezéséről és korlátozásáról (REACH), az EP és a Tanács (EK) rendelete; 1272/2008, az anyagok és keverékek osztályozásáról, címkézéséről és csomagolásáról (CLP), a módosításokkal;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67/548/EGK irányelv a veszélyes anyagok osztályozására, csomagolására és címkézésére vonatkozó jogszabályok közelítéséről (DSD);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 veszélyes készítmények osztályozására, csomagolására és címkézésére vonatkozó tagállami jogi és adminisztratív intézkedések közelítéséről szóló 1999/45/EK irányelv módosításaival (DPD);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Európai megállapodás a veszélyes áruk nemzetközi közúti szállításáról (ADR)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számú törvény 258/2000 Coll. A közegészség védelméről, a módosításokkal;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törvény, a Munka Törvénykönyvéről szóló 262/2006.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számú kormányrendelet törvény a munkavállalók munkahelyi egészségvédelmének feltételeinek megállapításáról szóló 361/2007. A 201/2012. a levegő védelméről és annak végrehajtási szabályzatáról;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számú törvény 185 / 2001 Coll. a hulladékokról és annak végrehajtási rendeleteiről;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számú törvény 477/2001 Coll. módosított csomagoláson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15.2 Kémiai biztonsági értékelés:</w:t>
      </w:r>
      <w:bookmarkStart w:id="0" w:name="_GoBack"/>
      <w:bookmarkEnd w:id="0"/>
    </w:p>
    <w:p>
      <w:pPr>
        <w:pStyle w:val="Normal"/>
        <w:spacing w:lineRule="auto" w:line="240" w:before="0" w:after="0"/>
        <w:rPr/>
      </w:pPr>
      <w:r>
        <w:rPr>
          <w:rFonts w:ascii="Arial Narrow" w:hAnsi="Arial Narrow"/>
          <w:sz w:val="20"/>
          <w:szCs w:val="20"/>
        </w:rPr>
        <w:t>A portlandi klinker gyártásából származó por regisztrálása céljából kémiai biztonsági értékelést végeztek a felhasználás számos forgatókönyvére vonatkozóan, beleértve a szárazhabarcskeverékekben való felhasználás forgatókönyveit is. Ez a biztonsági adatlap tartalmazza az anyag értékeléséből származó összes lényeges következtetést, amely a cementklinkerre is alkalmazható. A habarcskeverékek végső felhasználásra szánt termékek, ezért a biztonsági adatlaphoz más expozíciós forgatókönyvet nem csatoltak.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16. SZAKASZ. TOVÁBBI INFORMÁCIÓK</w:t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R-mondat: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R 20/22 Belélegezve és lenyelve ártalmas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R 36 Szemizgató hatású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R 37 Izgatja a légutakat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R 38 Bőrizgató hatású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R 41 Súlyos szemkárosodást okozhat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R 43 Bőrrel érintkezve túlérzékenységet okozhat (szenzibilizáló hatású lehet).</w:t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H-mondat: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H315 Bőrizgató hatású.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H317 Allergiás bőrreakciót válthat ki.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H318 Súlyos szemkárosodást okoz.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H335 Légúti irritációt okozhat.</w:t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P-mondat:</w:t>
      </w:r>
    </w:p>
    <w:p>
      <w:pPr>
        <w:pStyle w:val="Normal"/>
        <w:spacing w:lineRule="auto" w:line="240" w:before="0" w:after="0"/>
        <w:rPr/>
      </w:pPr>
      <w:r>
        <w:rPr>
          <w:rFonts w:ascii="Arial Narrow" w:hAnsi="Arial Narrow"/>
          <w:sz w:val="20"/>
          <w:szCs w:val="20"/>
        </w:rPr>
        <w:t>P101</w:t>
      </w:r>
      <w:r>
        <w:rPr/>
        <w:t xml:space="preserve"> </w:t>
      </w:r>
      <w:r>
        <w:rPr>
          <w:rFonts w:ascii="Arial Narrow" w:hAnsi="Arial Narrow"/>
          <w:sz w:val="20"/>
          <w:szCs w:val="20"/>
        </w:rPr>
        <w:t>Ha orvosi segítségre van szükség, legyen elérhető a tartály vagy a gyártó címkéje.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P102 Gyermekek elől elzárva tartandó.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P261 Kerülje a por belélegzését.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P280 Viseljen védőkesztyűt / védőruházatot / védőszemüveget / arcvédőt.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P305 + P351 + P338: SZEMBE KERÜLÉS ESETÉN: Több percig tartó óvatos öblítés. Távolítsa el a kontaktlencséket, ha viseli, és távolítsa el, ha lehetséges. Folytassa az öblítést.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P310: Azonnal forduljon TOXIKOLÓGIAI KÖZPONTHOZ vagy orvoshoz.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P302 + P352: HA BŐRRE KERÜL: Mossa le bő szappannal és vízzel. Bőrirritáció vagy kiütés esetén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P333 + P313: Forduljon orvoshoz.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P304 + P340: BELÉLEGZÉS ESETÉN: Az érintett személyt friss levegőre kell vinni, és olyan testhelyzetbe kell helyezni, hogy megkönnyítse a légzést.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P312 Rosszullét esetén forduljon TOXIKOLÓGIAI KÖZPONTHOZ vagy orvoshoz.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P501 A tartalmat/csomagolást a helyi előírásoknak megfelelően kijelölt gyűjtőhelyen kell leadni.</w:t>
      </w:r>
    </w:p>
    <w:p>
      <w:pPr>
        <w:pStyle w:val="Normal"/>
        <w:widowControl/>
        <w:suppressAutoHyphens w:val="true"/>
        <w:overflowPunct w:val="false"/>
        <w:spacing w:lineRule="auto" w:line="259" w:before="0" w:after="160"/>
        <w:jc w:val="left"/>
        <w:rPr/>
      </w:pPr>
      <w:r>
        <w:rPr/>
        <w:t xml:space="preserve">        </w:t>
      </w:r>
    </w:p>
    <w:sectPr>
      <w:headerReference w:type="default" r:id="rId5"/>
      <w:footerReference w:type="default" r:id="rId6"/>
      <w:type w:val="nextPage"/>
      <w:pgSz w:w="11906" w:h="16838"/>
      <w:pgMar w:left="1021" w:right="1021" w:gutter="0" w:header="707" w:top="764" w:footer="709" w:bottom="851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 Narrow">
    <w:charset w:val="01"/>
    <w:family w:val="roman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ta"/>
      <w:jc w:val="right"/>
      <w:rPr>
        <w:rFonts w:ascii="Arial" w:hAnsi="Arial"/>
        <w:sz w:val="16"/>
        <w:szCs w:val="16"/>
      </w:rPr>
    </w:pPr>
    <w:r>
      <w:rPr>
        <w:rFonts w:cs="Arial" w:ascii="Arial" w:hAnsi="Arial"/>
        <w:color w:val="FF0000"/>
        <w:sz w:val="16"/>
        <w:szCs w:val="16"/>
      </w:rPr>
      <w:t xml:space="preserve">SDB IsoTex F50 | </w:t>
    </w:r>
    <w:r>
      <w:rPr>
        <w:rFonts w:cs="Arial" w:ascii="Arial" w:hAnsi="Arial"/>
        <w:bCs/>
        <w:color w:val="FF0000"/>
        <w:sz w:val="16"/>
        <w:szCs w:val="16"/>
      </w:rPr>
      <w:t xml:space="preserve">9/9 . </w:t>
    </w:r>
    <w:r>
      <w:rPr>
        <w:rFonts w:cs="Arial" w:ascii="Arial" w:hAnsi="Arial"/>
        <w:color w:val="FF0000"/>
        <w:sz w:val="16"/>
        <w:szCs w:val="16"/>
      </w:rPr>
      <w:t>oldal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ie"/>
      <w:ind w:left="426" w:hanging="426"/>
      <w:jc w:val="right"/>
      <w:rPr/>
    </w:pPr>
    <w:bookmarkStart w:id="1" w:name="_Hlk24560184"/>
    <w:bookmarkEnd w:id="1"/>
    <w:r>
      <w:rPr/>
      <w:drawing>
        <wp:inline distT="0" distB="0" distL="0" distR="0">
          <wp:extent cx="6066155" cy="1014095"/>
          <wp:effectExtent l="0" t="0" r="0" b="0"/>
          <wp:docPr id="2" name="Grafik 20" descr="Ein Bild, das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0" descr="Ein Bild, das Screensho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66155" cy="1014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Zhlavie"/>
      <w:rPr>
        <w:rFonts w:ascii="Arial Narrow" w:hAnsi="Arial Narrow" w:cs="Arial"/>
        <w:b/>
        <w:b/>
        <w:color w:val="262626"/>
        <w:sz w:val="28"/>
        <w:szCs w:val="28"/>
      </w:rPr>
    </w:pPr>
    <w:r>
      <w:rPr>
        <w:rFonts w:cs="Arial" w:ascii="Arial Narrow" w:hAnsi="Arial Narrow"/>
        <w:b/>
        <w:color w:val="262626"/>
        <w:sz w:val="28"/>
        <w:szCs w:val="28"/>
      </w:rPr>
    </w:r>
    <w:bookmarkStart w:id="2" w:name="_Hlk245601841"/>
    <w:bookmarkStart w:id="3" w:name="_Hlk245601841"/>
    <w:bookmarkEnd w:id="3"/>
  </w:p>
  <w:p>
    <w:pPr>
      <w:pStyle w:val="Zhlavie"/>
      <w:ind w:left="284" w:hanging="0"/>
      <w:rPr/>
    </w:pPr>
    <w:r>
      <w:rPr>
        <w:rFonts w:cs="Arial" w:ascii="Arial Narrow" w:hAnsi="Arial Narrow"/>
        <w:b/>
        <w:color w:val="262626"/>
        <w:spacing w:val="10"/>
        <w:sz w:val="28"/>
        <w:szCs w:val="28"/>
      </w:rPr>
      <w:t xml:space="preserve">Biztonsági adatlap </w:t>
    </w:r>
    <w:r>
      <w:rPr>
        <w:rFonts w:cs="Arial" w:ascii="Arial Narrow" w:hAnsi="Arial Narrow"/>
        <w:color w:val="262626"/>
        <w:spacing w:val="10"/>
        <w:sz w:val="28"/>
        <w:szCs w:val="28"/>
      </w:rPr>
      <w:t xml:space="preserve">: </w:t>
    </w:r>
    <w:r>
      <w:rPr>
        <w:rFonts w:cs="Arial" w:ascii="Arial Narrow" w:hAnsi="Arial Narrow"/>
        <w:color w:val="FF0000"/>
        <w:spacing w:val="10"/>
        <w:sz w:val="28"/>
        <w:szCs w:val="28"/>
      </w:rPr>
      <w:t>IsoTex F50</w:t>
    </w:r>
  </w:p>
  <w:p>
    <w:pPr>
      <w:pStyle w:val="Zhlavie"/>
      <w:ind w:left="284" w:hanging="0"/>
      <w:rPr>
        <w:rFonts w:ascii="Arial Narrow" w:hAnsi="Arial Narrow" w:cs="Arial"/>
        <w:color w:val="262626"/>
        <w:spacing w:val="10"/>
        <w:sz w:val="20"/>
        <w:szCs w:val="20"/>
      </w:rPr>
    </w:pPr>
    <w:r>
      <w:rPr>
        <w:rFonts w:cs="Arial" w:ascii="Arial Narrow" w:hAnsi="Arial Narrow"/>
        <w:color w:val="262626"/>
        <w:spacing w:val="10"/>
        <w:sz w:val="20"/>
        <w:szCs w:val="20"/>
      </w:rPr>
      <w:t>számú REACH EK rendelet II. Az 1907/2006/EK rendelet és a 1272/2008</w:t>
    </w:r>
  </w:p>
  <w:p>
    <w:pPr>
      <w:pStyle w:val="Zhlavie"/>
      <w:ind w:left="284" w:hanging="0"/>
      <w:rPr>
        <w:rFonts w:ascii="Arial Narrow" w:hAnsi="Arial Narrow" w:cs="Arial"/>
        <w:color w:val="262626"/>
        <w:spacing w:val="10"/>
        <w:sz w:val="20"/>
        <w:szCs w:val="20"/>
      </w:rPr>
    </w:pPr>
    <w:r>
      <w:rPr>
        <w:rFonts w:cs="Arial" w:ascii="Arial Narrow" w:hAnsi="Arial Narrow"/>
        <w:color w:val="262626"/>
        <w:spacing w:val="10"/>
        <w:sz w:val="20"/>
        <w:szCs w:val="20"/>
      </w:rPr>
      <w:t>Készült: 2023.02.20</w:t>
    </w:r>
  </w:p>
  <w:p>
    <w:pPr>
      <w:pStyle w:val="Zhlavie"/>
      <w:ind w:left="284" w:hanging="0"/>
      <w:rPr>
        <w:rFonts w:ascii="Arial Narrow" w:hAnsi="Arial Narrow"/>
        <w:color w:val="A6A6A6"/>
        <w:sz w:val="16"/>
        <w:szCs w:val="16"/>
      </w:rPr>
    </w:pPr>
    <w:r>
      <w:rPr>
        <w:rFonts w:ascii="Arial Narrow" w:hAnsi="Arial Narrow"/>
        <w:color w:val="A6A6A6"/>
        <w:sz w:val="16"/>
        <w:szCs w:val="16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4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DejaVu Sans"/>
        <w:sz w:val="22"/>
        <w:szCs w:val="22"/>
        <w:lang w:val="hu-H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overflowPunct w:val="false"/>
      <w:bidi w:val="0"/>
      <w:spacing w:lineRule="auto" w:line="259" w:before="0" w:after="160"/>
      <w:jc w:val="left"/>
    </w:pPr>
    <w:rPr>
      <w:rFonts w:ascii="Calibri" w:hAnsi="Calibri" w:eastAsia="Calibri" w:cs="DejaVu Sans"/>
      <w:color w:val="auto"/>
      <w:kern w:val="0"/>
      <w:sz w:val="22"/>
      <w:szCs w:val="22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 w:customStyle="1">
    <w:name w:val="Internetový odkaz"/>
    <w:basedOn w:val="DefaultParagraphFont"/>
    <w:rPr>
      <w:color w:val="0563C1"/>
      <w:u w:val="single"/>
    </w:rPr>
  </w:style>
  <w:style w:type="character" w:styleId="UnresolvedMention" w:customStyle="1">
    <w:name w:val="Unresolved Mention"/>
    <w:basedOn w:val="DefaultParagraphFont"/>
    <w:qFormat/>
    <w:rPr>
      <w:color w:val="808080"/>
      <w:shd w:fill="E6E6E6" w:val="clear"/>
    </w:rPr>
  </w:style>
  <w:style w:type="character" w:styleId="ZkladntextChar" w:customStyle="1">
    <w:name w:val="Základní text Char"/>
    <w:basedOn w:val="DefaultParagraphFont"/>
    <w:qFormat/>
    <w:rPr>
      <w:rFonts w:ascii="Arial Narrow" w:hAnsi="Arial Narrow" w:eastAsia="Arial Narrow"/>
      <w:sz w:val="18"/>
      <w:szCs w:val="18"/>
      <w:lang w:val="hu-HU"/>
    </w:rPr>
  </w:style>
  <w:style w:type="character" w:styleId="PlaceholderText">
    <w:name w:val="Placeholder Text"/>
    <w:basedOn w:val="DefaultParagraphFont"/>
    <w:qFormat/>
    <w:rPr>
      <w:color w:val="808080"/>
    </w:rPr>
  </w:style>
  <w:style w:type="character" w:styleId="ZhlavChar" w:customStyle="1">
    <w:name w:val="Záhlaví Char"/>
    <w:basedOn w:val="DefaultParagraphFont"/>
    <w:qFormat/>
    <w:rPr/>
  </w:style>
  <w:style w:type="character" w:styleId="ZpatChar" w:customStyle="1">
    <w:name w:val="Zápatí Char"/>
    <w:basedOn w:val="DefaultParagraphFont"/>
    <w:qFormat/>
    <w:rPr/>
  </w:style>
  <w:style w:type="character" w:styleId="FormtovanvHTMLChar" w:customStyle="1">
    <w:name w:val="Formátovaný v HTML Char"/>
    <w:basedOn w:val="DefaultParagraphFont"/>
    <w:link w:val="HTMLPreformatted"/>
    <w:qFormat/>
    <w:rPr>
      <w:rFonts w:ascii="Courier New" w:hAnsi="Courier New" w:eastAsia="Times New Roman" w:cs="Courier New"/>
      <w:sz w:val="20"/>
      <w:szCs w:val="20"/>
      <w:lang w:val="hu-HU" w:eastAsia="de-DE"/>
    </w:rPr>
  </w:style>
  <w:style w:type="character" w:styleId="TextbublinyChar" w:customStyle="1">
    <w:name w:val="Text bubliny Char"/>
    <w:basedOn w:val="DefaultParagraphFont"/>
    <w:link w:val="BalloonText"/>
    <w:qFormat/>
    <w:rPr>
      <w:rFonts w:ascii="Tahoma" w:hAnsi="Tahoma" w:cs="Tahoma"/>
      <w:sz w:val="16"/>
      <w:szCs w:val="16"/>
    </w:rPr>
  </w:style>
  <w:style w:type="paragraph" w:styleId="Nadpis" w:customStyle="1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lotextu">
    <w:name w:val="Body Text"/>
    <w:basedOn w:val="Normal"/>
    <w:link w:val="ZkladntextChar"/>
    <w:pPr>
      <w:widowControl w:val="false"/>
      <w:spacing w:lineRule="auto" w:line="240" w:before="0" w:after="0"/>
      <w:ind w:left="826" w:hanging="0"/>
    </w:pPr>
    <w:rPr>
      <w:rFonts w:ascii="Arial Narrow" w:hAnsi="Arial Narrow" w:eastAsia="Arial Narrow"/>
      <w:sz w:val="18"/>
      <w:szCs w:val="18"/>
      <w:lang w:val="hu-HU"/>
    </w:rPr>
  </w:style>
  <w:style w:type="paragraph" w:styleId="Zoznam">
    <w:name w:val="List"/>
    <w:basedOn w:val="Telotextu"/>
    <w:pPr/>
    <w:rPr>
      <w:rFonts w:cs="Lohit Devanagari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Arial" w:hAnsi="Arial" w:eastAsia="Times New Roman" w:cs="Arial"/>
      <w:lang w:val="hu-HU" w:eastAsia="de-DE"/>
    </w:rPr>
  </w:style>
  <w:style w:type="paragraph" w:styleId="Hlavikaapta" w:customStyle="1">
    <w:name w:val="Hlavička a päta"/>
    <w:basedOn w:val="Normal"/>
    <w:qFormat/>
    <w:pPr/>
    <w:rPr/>
  </w:style>
  <w:style w:type="paragraph" w:styleId="Zhlavie">
    <w:name w:val="Header"/>
    <w:basedOn w:val="Normal"/>
    <w:link w:val="ZhlavChar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ta">
    <w:name w:val="Footer"/>
    <w:basedOn w:val="Normal"/>
    <w:link w:val="ZpatChar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HTMLPreformatted">
    <w:name w:val="HTML Preformatted"/>
    <w:basedOn w:val="Normal"/>
    <w:link w:val="FormtovanvHTMLChar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val="hu-HU" w:eastAsia="de-DE"/>
    </w:rPr>
  </w:style>
  <w:style w:type="paragraph" w:styleId="BalloonText">
    <w:name w:val="Balloon Text"/>
    <w:basedOn w:val="Normal"/>
    <w:link w:val="TextbublinyChar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Obsahtabuky" w:customStyle="1">
    <w:name w:val="Obsah tabuľky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oleObject" Target="embeddings/oleObject1.bin"/><Relationship Id="rId4" Type="http://schemas.openxmlformats.org/officeDocument/2006/relationships/image" Target="media/image2.bmp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LibreOffice/7.3.7.2$Linux_X86_64 LibreOffice_project/30$Build-2</Application>
  <AppVersion>15.0000</AppVersion>
  <Pages>18</Pages>
  <Words>3556</Words>
  <Characters>23641</Characters>
  <CharactersWithSpaces>26967</CharactersWithSpaces>
  <Paragraphs>316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2024-09-06T13:48:00Z</dcterms:created>
  <dc:creator>Sprenger</dc:creator>
  <dc:description/>
  <dc:language>sk-SK</dc:language>
  <cp:lastModifiedBy/>
  <cp:lastPrinted>2018-07-03T07:46:00Z</cp:lastPrinted>
  <dcterms:modified xsi:type="dcterms:W3CDTF">2025-01-22T10:56:51Z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