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Teil 1. IDENTIFIZIERUNG VON STOFF/MISCHUNG UND FIRMA/GESCHÄFT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Produktkennung:</w:t>
      </w:r>
    </w:p>
    <w:p>
      <w:pPr>
        <w:pStyle w:val="Normal"/>
        <w:spacing w:before="0" w:after="0"/>
        <w:rPr/>
      </w:pPr>
      <w:r>
        <w:rPr>
          <w:rFonts w:ascii="Arial Narrow" w:hAnsi="Arial Narrow"/>
          <w:iCs/>
          <w:sz w:val="20"/>
          <w:szCs w:val="20"/>
        </w:rPr>
        <w:t>Produktname:</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Andere Namen: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Chemische Beschreibung: Trockenputzmischung, Portlandzementmischung und Zusatzstoffe gemäß STN EN 998-1. Chemische Bezeichnung Portlandzement CAS-Nummer: 65997-15-1 EG-Nummer (EINECS): 266-043-4, Calciumhydroxid CAS-Nummer: 1305 - 620 EG-Nummer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Relevante identifizierte Verwendungen des Stoffs oder Gemischs und Verwendungen:</w:t>
      </w:r>
    </w:p>
    <w:p>
      <w:pPr>
        <w:pStyle w:val="Normal"/>
        <w:spacing w:lineRule="auto" w:line="240" w:before="0" w:after="0"/>
        <w:rPr>
          <w:rFonts w:ascii="Arial Narrow" w:hAnsi="Arial Narrow"/>
          <w:sz w:val="20"/>
          <w:szCs w:val="20"/>
        </w:rPr>
      </w:pPr>
      <w:r>
        <w:rPr>
          <w:rFonts w:ascii="Arial Narrow" w:hAnsi="Arial Narrow"/>
          <w:sz w:val="20"/>
          <w:szCs w:val="20"/>
        </w:rPr>
        <w:t>Der Putz ist für den manuellen oder maschinellen Auftrag außerhalb oder innerhalb von Gebäuden bestimmt. Der Putz zeichnet sich durch hohe Haftung zum Untergrund, einfache Verarbeitung, reduzierte Oberflächenaufnahme und verlängerte Verarbeitungszeit aus. Frostbeständig, witterungsbeständig, der Putz hat eine lange Lebensdauer und geringe Saugfähigkeit.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Herstelleridentifikation</w:t>
      </w:r>
    </w:p>
    <w:p>
      <w:pPr>
        <w:pStyle w:val="Normal"/>
        <w:spacing w:lineRule="auto" w:line="240" w:before="0" w:after="0"/>
        <w:rPr>
          <w:rFonts w:ascii="Arial Narrow" w:hAnsi="Arial Narrow"/>
          <w:sz w:val="20"/>
          <w:szCs w:val="20"/>
        </w:rPr>
      </w:pPr>
      <w:r>
        <w:rPr>
          <w:rFonts w:ascii="Arial Narrow" w:hAnsi="Arial Narrow"/>
          <w:sz w:val="20"/>
          <w:szCs w:val="20"/>
        </w:rPr>
        <w:t>Hergestellt in der EU für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Telefonnummer für Notfälle</w:t>
      </w:r>
    </w:p>
    <w:p>
      <w:pPr>
        <w:pStyle w:val="Normal"/>
        <w:spacing w:lineRule="auto" w:line="240" w:before="0" w:after="0"/>
        <w:rPr>
          <w:rFonts w:ascii="Arial Narrow" w:hAnsi="Arial Narrow"/>
          <w:sz w:val="20"/>
          <w:szCs w:val="20"/>
        </w:rPr>
      </w:pPr>
      <w:r>
        <w:rPr>
          <w:rFonts w:ascii="Arial Narrow" w:hAnsi="Arial Narrow"/>
          <w:sz w:val="20"/>
          <w:szCs w:val="20"/>
        </w:rPr>
        <w:t>Informationszentrum für Toxikologie,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2. </w:t>
        <w:tab/>
        <w:tab/>
        <w:t>GEFAHRENKENNUNG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Einstufung des Stoffs oder Gemischs:</w:t>
      </w:r>
    </w:p>
    <w:p>
      <w:pPr>
        <w:pStyle w:val="Normal"/>
        <w:spacing w:lineRule="auto" w:line="240" w:before="0" w:after="0"/>
        <w:rPr>
          <w:rFonts w:ascii="Arial Narrow" w:hAnsi="Arial Narrow"/>
          <w:sz w:val="20"/>
          <w:szCs w:val="20"/>
        </w:rPr>
      </w:pPr>
      <w:r>
        <w:rPr>
          <w:rFonts w:ascii="Arial Narrow" w:hAnsi="Arial Narrow"/>
          <w:sz w:val="20"/>
          <w:szCs w:val="20"/>
        </w:rPr>
        <w:t>Einstufung gemäß Verordnung (EG)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Hautreizung, Kategorie 2: </w:t>
        <w:tab/>
        <w:t>H315 reizt die Haut.</w:t>
      </w:r>
    </w:p>
    <w:p>
      <w:pPr>
        <w:pStyle w:val="Normal"/>
        <w:spacing w:lineRule="auto" w:line="240" w:before="0" w:after="0"/>
        <w:rPr>
          <w:rFonts w:ascii="Arial Narrow" w:hAnsi="Arial Narrow"/>
          <w:sz w:val="20"/>
          <w:szCs w:val="20"/>
        </w:rPr>
      </w:pPr>
      <w:r>
        <w:rPr>
          <w:rFonts w:ascii="Arial Narrow" w:hAnsi="Arial Narrow"/>
          <w:sz w:val="20"/>
          <w:szCs w:val="20"/>
        </w:rPr>
        <w:t xml:space="preserve">Schwere Augenschädigung, Kategorie 1: </w:t>
        <w:tab/>
        <w:t>H318 Verursacht schwere Augenschäden.</w:t>
      </w:r>
    </w:p>
    <w:p>
      <w:pPr>
        <w:pStyle w:val="Normal"/>
        <w:spacing w:lineRule="auto" w:line="240" w:before="0" w:after="0"/>
        <w:rPr>
          <w:rFonts w:ascii="Arial Narrow" w:hAnsi="Arial Narrow"/>
          <w:sz w:val="20"/>
          <w:szCs w:val="20"/>
        </w:rPr>
      </w:pPr>
      <w:r>
        <w:rPr>
          <w:rFonts w:ascii="Arial Narrow" w:hAnsi="Arial Narrow"/>
          <w:sz w:val="20"/>
          <w:szCs w:val="20"/>
        </w:rPr>
        <w:t xml:space="preserve">Hautsensibilisierung, Kategorie 1B, </w:t>
        <w:tab/>
        <w:t>H317 Kann allergische Hautreaktionen verursachen.</w:t>
      </w:r>
    </w:p>
    <w:p>
      <w:pPr>
        <w:pStyle w:val="Normal"/>
        <w:spacing w:lineRule="auto" w:line="240" w:before="0" w:after="0"/>
        <w:rPr>
          <w:rFonts w:ascii="Arial Narrow" w:hAnsi="Arial Narrow"/>
          <w:sz w:val="20"/>
          <w:szCs w:val="20"/>
        </w:rPr>
      </w:pPr>
      <w:r>
        <w:rPr>
          <w:rFonts w:ascii="Arial Narrow" w:hAnsi="Arial Narrow"/>
          <w:sz w:val="20"/>
          <w:szCs w:val="20"/>
        </w:rPr>
        <w:t>Spezifische Zielorgan-Toxizität – einmalige Exposition, Kategorie 3, H335 Kann die Atemwege reizen.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Markierungselemente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Gefahrensymbol: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221593287"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Warnwort:</w:t>
      </w:r>
    </w:p>
    <w:p>
      <w:pPr>
        <w:pStyle w:val="Normal"/>
        <w:spacing w:lineRule="auto" w:line="240" w:before="0" w:after="0"/>
        <w:rPr>
          <w:rFonts w:ascii="Arial Narrow" w:hAnsi="Arial Narrow"/>
          <w:sz w:val="20"/>
          <w:szCs w:val="20"/>
        </w:rPr>
      </w:pPr>
      <w:r>
        <w:rPr>
          <w:rFonts w:ascii="Arial Narrow" w:hAnsi="Arial Narrow"/>
          <w:sz w:val="20"/>
          <w:szCs w:val="20"/>
        </w:rPr>
        <w:t>Gefahr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Standard-Gefahrenhinweise: </w:t>
      </w:r>
      <w:r>
        <w:rPr>
          <w:rFonts w:ascii="Arial Narrow" w:hAnsi="Arial Narrow"/>
          <w:sz w:val="16"/>
          <w:szCs w:val="16"/>
        </w:rPr>
        <w:t>Portlandzement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Reizt die Haut.</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Verursacht schwere Augenschäden.</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Kann die Atemwege reizen.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Hinweise zum sicheren Umgang: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Wenn ärztliche Hilfe erforderlich ist, Behälter oder Herstelleretikett bereithalten.</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Darf nicht in die Hände von Kindern gelangen.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Einatmen von Staub vermeiden.</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Schutzhandschuhe/Schutzkleidung/Schutzbrille/Gesichtsschutz verwenden.</w:t>
      </w:r>
    </w:p>
    <w:p>
      <w:pPr>
        <w:pStyle w:val="Normal"/>
        <w:spacing w:lineRule="auto" w:line="240" w:before="0" w:after="0"/>
        <w:rPr>
          <w:rFonts w:ascii="Arial Narrow" w:hAnsi="Arial Narrow"/>
          <w:sz w:val="20"/>
          <w:szCs w:val="20"/>
        </w:rPr>
      </w:pPr>
      <w:r>
        <w:rPr>
          <w:rFonts w:ascii="Arial Narrow" w:hAnsi="Arial Narrow"/>
          <w:sz w:val="20"/>
          <w:szCs w:val="20"/>
        </w:rPr>
        <w:t>P305+P351+P338: BEI KONTAKT MIT DEN AUGEN: Einige Minuten lang vorsichtig mit Wasser spülen. Nehmen Sie, falls getragen, Kontaktlinsen ab und entfernen Sie diese wenn möglich. Spülen Sie weiter.</w:t>
      </w:r>
    </w:p>
    <w:p>
      <w:pPr>
        <w:pStyle w:val="Normal"/>
        <w:spacing w:lineRule="auto" w:line="240" w:before="0" w:after="0"/>
        <w:rPr>
          <w:rFonts w:ascii="Arial Narrow" w:hAnsi="Arial Narrow"/>
          <w:sz w:val="20"/>
          <w:szCs w:val="20"/>
        </w:rPr>
      </w:pPr>
      <w:r>
        <w:rPr>
          <w:rFonts w:ascii="Arial Narrow" w:hAnsi="Arial Narrow"/>
          <w:sz w:val="20"/>
          <w:szCs w:val="20"/>
        </w:rPr>
        <w:t>P310: Sofort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P302+P352: BEI BERÜHRUNG MIT DER HAUT: Mit viel Wasser und Seife waschen. Bei Hautreizungen oder Hautausschlag</w:t>
      </w:r>
    </w:p>
    <w:p>
      <w:pPr>
        <w:pStyle w:val="Normal"/>
        <w:spacing w:lineRule="auto" w:line="240" w:before="0" w:after="0"/>
        <w:rPr>
          <w:rFonts w:ascii="Arial Narrow" w:hAnsi="Arial Narrow"/>
          <w:sz w:val="20"/>
          <w:szCs w:val="20"/>
        </w:rPr>
      </w:pPr>
      <w:r>
        <w:rPr>
          <w:rFonts w:ascii="Arial Narrow" w:hAnsi="Arial Narrow"/>
          <w:sz w:val="20"/>
          <w:szCs w:val="20"/>
        </w:rPr>
        <w:t>P333+P313: Ärztlichen Rat einholen/ärztliche Hilfe hinzuziehen.</w:t>
      </w:r>
    </w:p>
    <w:p>
      <w:pPr>
        <w:pStyle w:val="Normal"/>
        <w:spacing w:lineRule="auto" w:line="240" w:before="0" w:after="0"/>
        <w:rPr>
          <w:rFonts w:ascii="Arial Narrow" w:hAnsi="Arial Narrow"/>
          <w:sz w:val="20"/>
          <w:szCs w:val="20"/>
        </w:rPr>
      </w:pPr>
      <w:r>
        <w:rPr>
          <w:rFonts w:ascii="Arial Narrow" w:hAnsi="Arial Narrow"/>
          <w:sz w:val="20"/>
          <w:szCs w:val="20"/>
        </w:rPr>
        <w:t>P304+P340: BEI EINATMEN: Die Person an die frische Luft bringen und in einer Position halten, die das Atmen erleichtert.</w:t>
      </w:r>
    </w:p>
    <w:p>
      <w:pPr>
        <w:pStyle w:val="Normal"/>
        <w:spacing w:lineRule="auto" w:line="240" w:before="0" w:after="0"/>
        <w:rPr>
          <w:rFonts w:ascii="Arial Narrow" w:hAnsi="Arial Narrow"/>
          <w:sz w:val="20"/>
          <w:szCs w:val="20"/>
        </w:rPr>
      </w:pPr>
      <w:r>
        <w:rPr>
          <w:rFonts w:ascii="Arial Narrow" w:hAnsi="Arial Narrow"/>
          <w:sz w:val="20"/>
          <w:szCs w:val="20"/>
        </w:rPr>
        <w:t>P312 Bei Unwohlsein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P501 Inhalt/Verpackung an einer entsprechend den örtlichen Vorschriften ausgewiesenen Sammelstelle entsorgen.</w:t>
      </w:r>
    </w:p>
    <w:p>
      <w:pPr>
        <w:pStyle w:val="Normal"/>
        <w:spacing w:lineRule="auto" w:line="240" w:before="0" w:after="0"/>
        <w:rPr>
          <w:rFonts w:ascii="Arial Narrow" w:hAnsi="Arial Narrow"/>
          <w:sz w:val="20"/>
          <w:szCs w:val="20"/>
        </w:rPr>
      </w:pPr>
      <w:r>
        <w:rPr>
          <w:rFonts w:ascii="Arial Narrow" w:hAnsi="Arial Narrow"/>
          <w:sz w:val="20"/>
          <w:szCs w:val="20"/>
        </w:rPr>
        <w:t>Gefährliche Inhaltsstoffe: Portlandzement, Calciumhydroxid.</w:t>
      </w:r>
    </w:p>
    <w:p>
      <w:pPr>
        <w:pStyle w:val="Normal"/>
        <w:spacing w:lineRule="auto" w:line="240" w:before="0" w:after="0"/>
        <w:rPr>
          <w:rFonts w:ascii="Arial Narrow" w:hAnsi="Arial Narrow"/>
          <w:sz w:val="20"/>
          <w:szCs w:val="20"/>
        </w:rPr>
      </w:pPr>
      <w:r>
        <w:rPr>
          <w:rFonts w:ascii="Arial Narrow" w:hAnsi="Arial Narrow"/>
          <w:sz w:val="20"/>
          <w:szCs w:val="20"/>
        </w:rPr>
        <w:t>Zusätzliche Informationen: Die feuchte Mischung kann Produkte aus Aluminium und anderen unedlen Metallen beschädigen.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Zusätzliche Gefahrenhinweise: nicht anwendbar</w:t>
      </w:r>
    </w:p>
    <w:p>
      <w:pPr>
        <w:pStyle w:val="Normal"/>
        <w:spacing w:lineRule="auto" w:line="240" w:before="0" w:after="0"/>
        <w:rPr>
          <w:rFonts w:ascii="Arial Narrow" w:hAnsi="Arial Narrow"/>
          <w:b/>
          <w:b/>
          <w:sz w:val="20"/>
          <w:szCs w:val="20"/>
        </w:rPr>
      </w:pPr>
      <w:r>
        <w:rPr>
          <w:rFonts w:ascii="Arial Narrow" w:hAnsi="Arial Narrow"/>
          <w:b/>
          <w:sz w:val="20"/>
          <w:szCs w:val="20"/>
        </w:rPr>
        <w:t>Handfeste Warnung für Blinde: Nein</w:t>
      </w:r>
    </w:p>
    <w:p>
      <w:pPr>
        <w:pStyle w:val="Normal"/>
        <w:spacing w:lineRule="auto" w:line="240" w:before="0" w:after="0"/>
        <w:rPr>
          <w:rFonts w:ascii="Arial Narrow" w:hAnsi="Arial Narrow"/>
          <w:b/>
          <w:b/>
          <w:sz w:val="20"/>
          <w:szCs w:val="20"/>
        </w:rPr>
      </w:pPr>
      <w:r>
        <w:rPr>
          <w:rFonts w:ascii="Arial Narrow" w:hAnsi="Arial Narrow"/>
          <w:b/>
          <w:sz w:val="20"/>
          <w:szCs w:val="20"/>
        </w:rPr>
        <w:t>Kindersicherer Verschluss: nein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Eine weitere Gefahr</w:t>
      </w:r>
    </w:p>
    <w:p>
      <w:pPr>
        <w:pStyle w:val="Normal"/>
        <w:spacing w:lineRule="auto" w:line="240" w:before="0" w:after="0"/>
        <w:rPr>
          <w:rFonts w:ascii="Arial Narrow" w:hAnsi="Arial Narrow"/>
          <w:sz w:val="20"/>
          <w:szCs w:val="20"/>
        </w:rPr>
      </w:pPr>
      <w:r>
        <w:rPr>
          <w:rFonts w:ascii="Arial Narrow" w:hAnsi="Arial Narrow"/>
          <w:sz w:val="20"/>
          <w:szCs w:val="20"/>
        </w:rPr>
        <w:t>Wiederholter Kontakt, insbesondere eines feuchten Produkts mit ungeschützter Haut, kann zu Hautreizungen (irritativer Kontaktdermatitis) führen, und bei manchen Menschen kann es sogar zu einer allergischen Kontaktdermatitis kommen.</w:t>
      </w:r>
    </w:p>
    <w:p>
      <w:pPr>
        <w:pStyle w:val="Normal"/>
        <w:spacing w:lineRule="auto" w:line="240" w:before="0" w:after="0"/>
        <w:rPr>
          <w:rFonts w:ascii="Arial Narrow" w:hAnsi="Arial Narrow"/>
          <w:sz w:val="20"/>
          <w:szCs w:val="20"/>
        </w:rPr>
      </w:pPr>
      <w:r>
        <w:rPr>
          <w:rFonts w:ascii="Arial Narrow" w:hAnsi="Arial Narrow"/>
          <w:sz w:val="20"/>
          <w:szCs w:val="20"/>
        </w:rPr>
        <w:t>Nach dem Mischen mit Wasser entsteht ein stark alkalisches Gemisch, das bei hohem pH-Wert Aluminium angreifen oder Wasserorganismen oder Pflanzen schädigen kann. Das Gemisch erfüllt nicht die Kriterien für PBT oder vPvB gemäß Anhang XIII der EU-Verordnung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3. ZUSAMMENSETZUNG/ANGABEN ZU DEN BESTANDTEILEN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 Das Produkt ist ein Gemisch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Mischungen:</w:t>
      </w:r>
    </w:p>
    <w:p>
      <w:pPr>
        <w:pStyle w:val="Normal"/>
        <w:spacing w:lineRule="auto" w:line="240" w:before="0" w:after="0"/>
        <w:rPr>
          <w:rFonts w:ascii="Arial Narrow" w:hAnsi="Arial Narrow"/>
          <w:sz w:val="20"/>
          <w:szCs w:val="20"/>
        </w:rPr>
      </w:pPr>
      <w:r>
        <w:rPr>
          <w:rFonts w:ascii="Arial Narrow" w:hAnsi="Arial Narrow"/>
          <w:sz w:val="20"/>
          <w:szCs w:val="20"/>
        </w:rPr>
        <w:t>Trockene Gipsmischung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Das Produkt enthält folgende gefährliche Stoffe: Portlandzement grau; Calciumhydroxid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Chemischer Name: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EG-Nummer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Registrierungsnummer: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Inhalt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Einstufung gemäß Richtlinie 1999/45/EG</w:t>
            </w:r>
          </w:p>
          <w:p>
            <w:pPr>
              <w:pStyle w:val="Normal"/>
              <w:widowControl w:val="false"/>
              <w:spacing w:lineRule="auto" w:line="240" w:before="0" w:after="0"/>
              <w:rPr>
                <w:rFonts w:ascii="Arial Narrow" w:hAnsi="Arial Narrow"/>
                <w:sz w:val="16"/>
                <w:szCs w:val="16"/>
              </w:rPr>
            </w:pPr>
            <w:r>
              <w:rPr>
                <w:rFonts w:ascii="Arial Narrow" w:hAnsi="Arial Narrow"/>
                <w:sz w:val="16"/>
                <w:szCs w:val="16"/>
              </w:rPr>
              <w:t>Gefahrensymbol, R-Sätze</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Einstufung gemäß Verordnung (EG) 1272/2008: </w:t>
            </w:r>
            <w:r>
              <w:rPr>
                <w:rFonts w:ascii="Arial Narrow" w:hAnsi="Arial Narrow"/>
                <w:sz w:val="16"/>
                <w:szCs w:val="16"/>
              </w:rPr>
              <w:t>Klassencode und Gefahrenkategorie H-Satz</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Portlandzement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irritierend,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sensibilisierend,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Hautreizung.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Calciumhydroxid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irritierend,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sensibilisierend,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Hautreizung.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Den vollständigen Wortlaut der R- und H-Sätze finden Sie in Abschnitt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4. ERSTE-HILFE-ANWEISUNGEN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Beschreibung der Ersten Hilfe</w:t>
      </w:r>
    </w:p>
    <w:p>
      <w:pPr>
        <w:pStyle w:val="Normal"/>
        <w:spacing w:lineRule="auto" w:line="240" w:before="0" w:after="0"/>
        <w:jc w:val="both"/>
        <w:rPr/>
      </w:pPr>
      <w:r>
        <w:rPr>
          <w:rFonts w:ascii="Arial Narrow" w:hAnsi="Arial Narrow"/>
          <w:b/>
          <w:sz w:val="20"/>
          <w:szCs w:val="20"/>
        </w:rPr>
        <w:t xml:space="preserve">Allgemeine Hinweise: </w:t>
      </w:r>
      <w:r>
        <w:rPr>
          <w:rFonts w:ascii="Arial Narrow" w:hAnsi="Arial Narrow"/>
          <w:sz w:val="20"/>
          <w:szCs w:val="20"/>
        </w:rPr>
        <w:t>Eine sofortige ärztliche Behandlung ist in der Regel nicht erforderlich. Sollten nach dem Umgang mit dem Präparat gesundheitliche Probleme auftreten, im Zweifelsfall oder bei anhaltenden Beschwerden ärztliche Hilfe in Anspruch nehmen und diese Karte bzw. dieses Etikett vorzeigen. Es ist stets darauf zu achten, dass die betroffene Person ruhig bleibt und sich nicht erkältet.</w:t>
      </w:r>
    </w:p>
    <w:p>
      <w:pPr>
        <w:pStyle w:val="Normal"/>
        <w:spacing w:lineRule="auto" w:line="240" w:before="0" w:after="0"/>
        <w:jc w:val="both"/>
        <w:rPr>
          <w:rFonts w:ascii="Arial Narrow" w:hAnsi="Arial Narrow"/>
          <w:sz w:val="20"/>
          <w:szCs w:val="20"/>
        </w:rPr>
      </w:pPr>
      <w:r>
        <w:rPr>
          <w:rFonts w:ascii="Arial Narrow" w:hAnsi="Arial Narrow"/>
          <w:sz w:val="20"/>
          <w:szCs w:val="20"/>
        </w:rPr>
        <w:t>Bei Bewusstlosigkeit den Betroffenen in eine stabile Seitenlage bringen, den Kopf leicht neigen, auf keinen Fall etwas (Flüssigkeiten) über den Mund verabreichen. Ersthelfer benötigen keine persönliche Schutzausrüstung, sollten jedoch den Kontakt mit der feuchten Mischung vermeiden. Informieren Sie den Arzt über Erste Hilfe.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Beim Einatmen:</w:t>
      </w:r>
    </w:p>
    <w:p>
      <w:pPr>
        <w:pStyle w:val="Normal"/>
        <w:spacing w:lineRule="auto" w:line="240" w:before="0" w:after="0"/>
        <w:jc w:val="both"/>
        <w:rPr>
          <w:rFonts w:ascii="Arial Narrow" w:hAnsi="Arial Narrow"/>
          <w:sz w:val="20"/>
          <w:szCs w:val="20"/>
        </w:rPr>
      </w:pPr>
      <w:r>
        <w:rPr>
          <w:rFonts w:ascii="Arial Narrow" w:hAnsi="Arial Narrow"/>
          <w:sz w:val="20"/>
          <w:szCs w:val="20"/>
        </w:rPr>
        <w:t>Unterbrechen Sie die Exposition und bringen Sie das Opfer an die frische Luft. Der Staub aus dem Rachen und den Nasenhöhlen sollte von selbst verschwinden. Wenn Reizung oder Übelkeit, Husten oder andere anhaltende Symptome anhalten oder sich später entwickeln, suchen Sie einen Arzt auf.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 Hautkontakt:</w:t>
      </w:r>
    </w:p>
    <w:p>
      <w:pPr>
        <w:pStyle w:val="Normal"/>
        <w:spacing w:lineRule="auto" w:line="240" w:before="0" w:after="0"/>
        <w:rPr>
          <w:rFonts w:ascii="Arial Narrow" w:hAnsi="Arial Narrow"/>
          <w:sz w:val="20"/>
          <w:szCs w:val="20"/>
        </w:rPr>
      </w:pPr>
      <w:r>
        <w:rPr>
          <w:rFonts w:ascii="Arial Narrow" w:hAnsi="Arial Narrow"/>
          <w:sz w:val="20"/>
          <w:szCs w:val="20"/>
        </w:rPr>
        <w:t>Kontaminierte Kleidung und Schuhe ausziehen. Wenn die Mischung trocken ist, entfernen Sie sie von der Haut und spülen Sie sie mit viel Wasser ab. Bei einer feuchten Mischung die Haut mit reichlich Wasser waschen. Wenn Hautreizungen oder Brennen auftreten, suchen Sie einen Arzt auf.</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Bei Augenkontakt:</w:t>
      </w:r>
    </w:p>
    <w:p>
      <w:pPr>
        <w:pStyle w:val="Normal"/>
        <w:spacing w:lineRule="auto" w:line="240" w:before="0" w:after="0"/>
        <w:jc w:val="both"/>
        <w:rPr>
          <w:rFonts w:ascii="Arial Narrow" w:hAnsi="Arial Narrow"/>
          <w:sz w:val="20"/>
          <w:szCs w:val="20"/>
        </w:rPr>
      </w:pPr>
      <w:r>
        <w:rPr>
          <w:rFonts w:ascii="Arial Narrow" w:hAnsi="Arial Narrow"/>
          <w:sz w:val="20"/>
          <w:szCs w:val="20"/>
        </w:rPr>
        <w:t>Reiben Sie Ihre Augen nicht, um die Hornhaut nicht durch mechanische Beschädigung zu schädigen. Wenn Sie Kontaktlinsen tragen, entfernen Sie diese. Neigen Sie den Kopf zur Seite des betroffenen Auges, öffnen Sie die Augenlider weit und spülen Sie das/die Auge(n) sofort mindestens 30 Minuten lang gründlich mit reichlich Wasser aus, um alle Partikel zu entfernen. Vermeiden Sie es, in das betroffene Auge zu gelangen. Verwenden Sie möglichst isotonisches Wasser (0,9 % NaCl). Suchen Sie einen Spezialisten für Berufskrankheiten oder einen Augenarzt auf.</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Beim Trinken:</w:t>
      </w:r>
    </w:p>
    <w:p>
      <w:pPr>
        <w:pStyle w:val="Normal"/>
        <w:spacing w:lineRule="auto" w:line="240" w:before="0" w:after="0"/>
        <w:rPr>
          <w:rFonts w:ascii="Arial Narrow" w:hAnsi="Arial Narrow"/>
          <w:sz w:val="20"/>
          <w:szCs w:val="20"/>
        </w:rPr>
      </w:pPr>
      <w:r>
        <w:rPr>
          <w:rFonts w:ascii="Arial Narrow" w:hAnsi="Arial Narrow"/>
          <w:sz w:val="20"/>
          <w:szCs w:val="20"/>
        </w:rPr>
        <w:t>Kein Erbrechen herbeiführen, Mund mit Wasser ausspülen, reichlich Wasser zu trinken geben. Suchen Sie einen Arzt auf oder wenden Sie sich an das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Die wichtigsten akuten und verzögerten Symptome und Auswirkungen</w:t>
      </w:r>
    </w:p>
    <w:p>
      <w:pPr>
        <w:pStyle w:val="Normal"/>
        <w:spacing w:lineRule="auto" w:line="240" w:before="0" w:after="0"/>
        <w:rPr>
          <w:rFonts w:ascii="Arial Narrow" w:hAnsi="Arial Narrow"/>
          <w:i/>
          <w:i/>
          <w:sz w:val="20"/>
          <w:szCs w:val="20"/>
        </w:rPr>
      </w:pPr>
      <w:r>
        <w:rPr>
          <w:rFonts w:ascii="Arial Narrow" w:hAnsi="Arial Narrow"/>
          <w:i/>
          <w:sz w:val="20"/>
          <w:szCs w:val="20"/>
        </w:rPr>
        <w:t>(Wirkungen, die aufgrund der Zusammensetzung der Mischung zu erwarten sind)</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Hautkontakt: Die Zementmischung kann bei längerem Kontakt (auf feuchter Haut, z. B. beim Schwitzen oder Benetzen der Haut) reizend auf die Haut wirken oder bei wiederholtem Kontakt Hautdermatitis verursachen. Bei längerem Kontakt der Haut mit der feuchten Mischung kann es zu schweren Verbrennungen (Ätzungen) kommen, die zunächst schmerzlos verlaufen.</w:t>
      </w:r>
    </w:p>
    <w:p>
      <w:pPr>
        <w:pStyle w:val="Normal"/>
        <w:spacing w:lineRule="auto" w:line="240" w:before="0" w:after="0"/>
        <w:rPr>
          <w:rFonts w:ascii="Arial Narrow" w:hAnsi="Arial Narrow"/>
          <w:i/>
          <w:i/>
          <w:sz w:val="20"/>
          <w:szCs w:val="20"/>
        </w:rPr>
      </w:pPr>
      <w:r>
        <w:rPr>
          <w:rFonts w:ascii="Arial Narrow" w:hAnsi="Arial Narrow"/>
          <w:i/>
          <w:sz w:val="20"/>
          <w:szCs w:val="20"/>
        </w:rPr>
        <w:t>Augenkontakt: Augenkontakt mit der Zementmischung kann schwere und möglicherweise irreversible Augenschäden verursachen.</w:t>
      </w:r>
    </w:p>
    <w:p>
      <w:pPr>
        <w:pStyle w:val="Normal"/>
        <w:spacing w:lineRule="auto" w:line="240" w:before="0" w:after="0"/>
        <w:rPr>
          <w:rFonts w:ascii="Arial Narrow" w:hAnsi="Arial Narrow"/>
          <w:i/>
          <w:i/>
          <w:sz w:val="20"/>
          <w:szCs w:val="20"/>
        </w:rPr>
      </w:pPr>
      <w:r>
        <w:rPr>
          <w:rFonts w:ascii="Arial Narrow" w:hAnsi="Arial Narrow"/>
          <w:i/>
          <w:sz w:val="20"/>
          <w:szCs w:val="20"/>
        </w:rPr>
        <w:t>Einatmen: Langfristiges oder wiederholtes Einatmen erhöht das Risiko, Lungenerkrankungen zu entwickeln.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Hinweise auf sofortige ärztliche Hilfe oder Spezialbehandlung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Nehmen Sie das Sicherheitsblatt zum Arztbesuch mit.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5. Brandschutzmaßnahmen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Feuerlöscher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Geeignete Löschmittel:</w:t>
      </w:r>
      <w:r>
        <w:rPr/>
        <w:t xml:space="preserve"> </w:t>
      </w:r>
      <w:r>
        <w:rPr>
          <w:rFonts w:ascii="Arial Narrow" w:hAnsi="Arial Narrow"/>
          <w:sz w:val="20"/>
          <w:szCs w:val="20"/>
        </w:rPr>
        <w:t>Das Produkt ist nicht brennbar. Wählen Sie zum Löschen von Umgebungsbränden ein Löschmittel, das auf die Umwelt Rücksicht nimmt.</w:t>
      </w:r>
    </w:p>
    <w:p>
      <w:pPr>
        <w:pStyle w:val="Normal"/>
        <w:spacing w:lineRule="auto" w:line="240" w:before="0" w:after="0"/>
        <w:rPr/>
      </w:pPr>
      <w:r>
        <w:rPr>
          <w:rFonts w:ascii="Arial Narrow" w:hAnsi="Arial Narrow"/>
          <w:b/>
          <w:sz w:val="20"/>
          <w:szCs w:val="20"/>
        </w:rPr>
        <w:t xml:space="preserve">Ungeeignete Löschmittel: </w:t>
      </w:r>
      <w:r>
        <w:rPr/>
        <w:t xml:space="preserve">Wasserstrahl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Besondere Sicherheit, die sich aus dem Stoff oder Gemisch ergibt</w:t>
      </w:r>
    </w:p>
    <w:p>
      <w:pPr>
        <w:pStyle w:val="Normal"/>
        <w:spacing w:lineRule="auto" w:line="240" w:before="0" w:after="0"/>
        <w:rPr>
          <w:rFonts w:ascii="Arial Narrow" w:hAnsi="Arial Narrow"/>
          <w:sz w:val="20"/>
          <w:szCs w:val="20"/>
        </w:rPr>
      </w:pPr>
      <w:r>
        <w:rPr>
          <w:rFonts w:ascii="Arial Narrow" w:hAnsi="Arial Narrow"/>
          <w:sz w:val="20"/>
          <w:szCs w:val="20"/>
        </w:rPr>
        <w:t>Sie sind nicht bekannt. Das Gemisch ist nicht brennbar oder explosiv und fördert nicht die Verbrennung anderer Materialien.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Ratschläge für Feuerwehrleute</w:t>
      </w:r>
    </w:p>
    <w:p>
      <w:pPr>
        <w:pStyle w:val="Normal"/>
        <w:spacing w:lineRule="auto" w:line="240" w:before="0" w:after="0"/>
        <w:rPr>
          <w:rFonts w:ascii="Arial Narrow" w:hAnsi="Arial Narrow"/>
          <w:sz w:val="20"/>
          <w:szCs w:val="20"/>
        </w:rPr>
      </w:pPr>
      <w:r>
        <w:rPr>
          <w:rFonts w:ascii="Arial Narrow" w:hAnsi="Arial Narrow"/>
          <w:sz w:val="20"/>
          <w:szCs w:val="20"/>
        </w:rPr>
        <w:t>Umluftunabhängiges Atemschutzgerät und in der Regel Feuerlöschausrüstung verwenden (Kontakt mit Haut und Augen vermeiden). Verhindern Sie, dass Löschwasser oder Löschgemisch in die Kanalisation und Gewässer gelangt.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6. MASSNAHMEN BEI UNBEABSICHTIGTER FREISETZUNG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Persönliche Schutzmaßnahmen, Schutzausrüstung und Notfallmaßnahmen</w:t>
      </w:r>
    </w:p>
    <w:p>
      <w:pPr>
        <w:pStyle w:val="Normal"/>
        <w:spacing w:lineRule="auto" w:line="240" w:before="0" w:after="0"/>
        <w:rPr>
          <w:rFonts w:ascii="Arial Narrow" w:hAnsi="Arial Narrow"/>
          <w:sz w:val="20"/>
          <w:szCs w:val="20"/>
        </w:rPr>
      </w:pPr>
      <w:r>
        <w:rPr>
          <w:rFonts w:ascii="Arial Narrow" w:hAnsi="Arial Narrow"/>
          <w:sz w:val="20"/>
          <w:szCs w:val="20"/>
        </w:rPr>
        <w:t>Verhindern Sie, dass sich Personen, die nicht an der Beseitigung der Folgen der Verschüttung beteiligt sind, an Orte bewegen, an denen sie durch das verschüttete Produkt kontaminiert werden könnten. Sorgen Sie für eine zugfreie Belüftung innerhalb von Gebäuden. Wählen Sie bei der Reinigung Verfahren, die die Bildung von Staubaerosolen nicht verstärken (siehe Abschnitt 6.3). Bei Nassverfahren kann ein ungereinigter Boden oder Untergrund rutschig werden. Verwenden Sie bei der Arbeit die empfohlene persönliche Schutzausrüstung (siehe Abschnitt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Maßnahmen zum Schutz der Umwelt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Auslaufen und Ausbreitung von verschüttetem Material verhindern. Halten Sie das Material möglichst trocken. Wenn möglich, decken Sie den Bereich ab, um unnötige Staubgefahren zu vermeiden. Unkontrolliertes Eindringen in Gewässer und Kanalisation (pH-Anstieg) verhindern. Jede größere Freisetzung in Wasserstraßen muss der Umweltbehörde oder einer anderen zuständigen Behörde gemeldet werden.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Methoden und Materialien zur Eindämmung und Reinigung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Sammeln Sie das verschüttete trockene Material mechanisch auf und verwenden Sie es erneut, wenn es nicht kontaminiert ist. Verwenden Sie chemische Reinigungsmethoden wie Staubsaugen oder Staubsaugen (mit Luftfiltern). Keine Druckluft verwenden.</w:t>
      </w:r>
    </w:p>
    <w:p>
      <w:pPr>
        <w:pStyle w:val="Normal"/>
        <w:spacing w:lineRule="auto" w:line="240" w:before="0" w:after="0"/>
        <w:rPr>
          <w:rFonts w:ascii="Arial Narrow" w:hAnsi="Arial Narrow"/>
          <w:sz w:val="20"/>
          <w:szCs w:val="20"/>
        </w:rPr>
      </w:pPr>
      <w:r>
        <w:rPr>
          <w:rFonts w:ascii="Arial Narrow" w:hAnsi="Arial Narrow"/>
          <w:sz w:val="20"/>
          <w:szCs w:val="20"/>
        </w:rPr>
        <w:t>Es ist auch möglich, eine Nassreinigung (Wassersprühen oder -nebel) durchzuführen, das Aufsteigen von Staub zu verhindern, den Staub abzuwischen und den entstehenden Schlamm zu entfernen. Entfernen Sie die feuchte Mischung auf die gleiche Weise. Lassen Sie den Schlamm erstarren und entfernen Sie ihn gemäß Abschnitt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Verweis auf andere Teile</w:t>
      </w:r>
    </w:p>
    <w:p>
      <w:pPr>
        <w:pStyle w:val="Normal"/>
        <w:spacing w:lineRule="auto" w:line="240" w:before="0" w:after="0"/>
        <w:rPr>
          <w:rFonts w:ascii="Arial Narrow" w:hAnsi="Arial Narrow"/>
          <w:sz w:val="20"/>
          <w:szCs w:val="20"/>
        </w:rPr>
      </w:pPr>
      <w:r>
        <w:rPr>
          <w:rFonts w:ascii="Arial Narrow" w:hAnsi="Arial Narrow"/>
          <w:sz w:val="20"/>
          <w:szCs w:val="20"/>
        </w:rPr>
        <w:t>Informationen zur persönlichen Schutzausrüstung finden Sie in Abschnitt 8.</w:t>
      </w:r>
    </w:p>
    <w:p>
      <w:pPr>
        <w:pStyle w:val="Normal"/>
        <w:spacing w:lineRule="auto" w:line="240" w:before="0" w:after="0"/>
        <w:rPr>
          <w:rFonts w:ascii="Arial Narrow" w:hAnsi="Arial Narrow"/>
          <w:sz w:val="20"/>
          <w:szCs w:val="20"/>
        </w:rPr>
      </w:pPr>
      <w:r>
        <w:rPr>
          <w:rFonts w:ascii="Arial Narrow" w:hAnsi="Arial Narrow"/>
          <w:sz w:val="20"/>
          <w:szCs w:val="20"/>
        </w:rPr>
        <w:t>Informationen zur Abfallentsorgung finden Sie in Abschnitt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7. HANDHABUNG UND LAGERUNG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Vorsichtsmaßnahmen zur sicheren Handhabung</w:t>
      </w:r>
    </w:p>
    <w:p>
      <w:pPr>
        <w:pStyle w:val="Normal"/>
        <w:spacing w:lineRule="auto" w:line="240" w:before="0" w:after="0"/>
        <w:jc w:val="both"/>
        <w:rPr>
          <w:rFonts w:ascii="Arial Narrow" w:hAnsi="Arial Narrow"/>
          <w:sz w:val="20"/>
          <w:szCs w:val="20"/>
        </w:rPr>
      </w:pPr>
      <w:r>
        <w:rPr>
          <w:rFonts w:ascii="Arial Narrow" w:hAnsi="Arial Narrow"/>
          <w:sz w:val="20"/>
          <w:szCs w:val="20"/>
        </w:rPr>
        <w:t>Lesen Sie die Gebrauchsanweisung. Beim Umgang mit der Trockenmischung keinen Staub einatmen, in gut belüfteten Bereichen arbeiten, Arbeitsschutzausrüstung gegen das Einatmen von Staub verwenden (siehe Abschnitt 8). Vermeiden Sie den Kontakt mit Augen und Haut, wenn Sie mit trockener oder nasser Mischung arbeiten, indem Sie persönliche Schutzausrüstung verwenden (siehe Abschnitt 8).</w:t>
      </w:r>
    </w:p>
    <w:p>
      <w:pPr>
        <w:pStyle w:val="Normal"/>
        <w:spacing w:lineRule="auto" w:line="240" w:before="0" w:after="0"/>
        <w:jc w:val="both"/>
        <w:rPr>
          <w:rFonts w:ascii="Arial Narrow" w:hAnsi="Arial Narrow"/>
          <w:sz w:val="20"/>
          <w:szCs w:val="20"/>
        </w:rPr>
      </w:pPr>
      <w:r>
        <w:rPr>
          <w:rFonts w:ascii="Arial Narrow" w:hAnsi="Arial Narrow"/>
          <w:sz w:val="20"/>
          <w:szCs w:val="20"/>
        </w:rPr>
        <w:t>Halten Sie Arbeitsgeräte dort, wo sie mit Ihren Händen in Berührung kommen, sauber. Wenn Arbeitskleidung und Arbeitsschutzausrüstung so stark verschmutzt sind, dass das Gemisch unter die Hautoberfläche dringt oder Feuchtigkeit in das Innere der Schutzausrüstung oder Arbeitskleidung eindringt, ersetzen Sie diese schnellstmöglich durch saubere und trockene.</w:t>
      </w:r>
    </w:p>
    <w:p>
      <w:pPr>
        <w:pStyle w:val="Normal"/>
        <w:spacing w:lineRule="auto" w:line="240" w:before="0" w:after="0"/>
        <w:jc w:val="both"/>
        <w:rPr>
          <w:rFonts w:ascii="Arial Narrow" w:hAnsi="Arial Narrow"/>
          <w:sz w:val="20"/>
          <w:szCs w:val="20"/>
        </w:rPr>
      </w:pPr>
      <w:r>
        <w:rPr>
          <w:rFonts w:ascii="Arial Narrow" w:hAnsi="Arial Narrow"/>
          <w:sz w:val="20"/>
          <w:szCs w:val="20"/>
        </w:rPr>
        <w:t>Bei der Arbeit nicht essen, trinken oder rauchen, allgemeine Sicherheits- und Hygienemaßnahmen beim Umgang mit Chemikalien beachten.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Hinweise zur sicheren Lagerung von Stoffen und Gemischen unter Berücksichtigung etwaiger Unverträglichkeiten</w:t>
      </w:r>
    </w:p>
    <w:p>
      <w:pPr>
        <w:pStyle w:val="Normal"/>
        <w:spacing w:lineRule="auto" w:line="240" w:before="0" w:after="0"/>
        <w:jc w:val="both"/>
        <w:rPr>
          <w:rFonts w:ascii="Arial Narrow" w:hAnsi="Arial Narrow"/>
          <w:sz w:val="20"/>
          <w:szCs w:val="20"/>
        </w:rPr>
      </w:pPr>
      <w:r>
        <w:rPr>
          <w:rFonts w:ascii="Arial Narrow" w:hAnsi="Arial Narrow"/>
          <w:sz w:val="20"/>
          <w:szCs w:val="20"/>
        </w:rPr>
        <w:t>In der verschlossenen Originalverpackung, an einem trockenen Ort, vor Feuchtigkeit schützen, getrennt von Nahrungsmitteln, Getränken und Futtermitteln lagern. Ein mögliches Einfrieren des Produkts hat keinen Einfluss auf seine Funktionalität. Außerhalb der Reichweite von Kindern aufbewahren.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Spezifische Endverwendung / Spezifische Endverwendung</w:t>
      </w:r>
    </w:p>
    <w:p>
      <w:pPr>
        <w:pStyle w:val="Normal"/>
        <w:spacing w:lineRule="auto" w:line="240" w:before="0" w:after="0"/>
        <w:rPr>
          <w:rFonts w:ascii="Arial Narrow" w:hAnsi="Arial Narrow"/>
          <w:sz w:val="20"/>
          <w:szCs w:val="20"/>
        </w:rPr>
      </w:pPr>
      <w:r>
        <w:rPr>
          <w:rFonts w:ascii="Arial Narrow" w:hAnsi="Arial Narrow"/>
          <w:sz w:val="20"/>
          <w:szCs w:val="20"/>
        </w:rPr>
        <w:t>es wird nicht erwähnt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8. EXPOSITIONSBEGRENZUNG/PERSÖNLICHE SCHUTZAUSRÜSTUNG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Steuerparameter</w:t>
      </w:r>
    </w:p>
    <w:p>
      <w:pPr>
        <w:pStyle w:val="Normal"/>
        <w:spacing w:lineRule="auto" w:line="240" w:before="0" w:after="0"/>
        <w:jc w:val="both"/>
        <w:rPr/>
      </w:pPr>
      <w:r>
        <w:rPr>
          <w:rFonts w:ascii="Arial Narrow" w:hAnsi="Arial Narrow"/>
          <w:sz w:val="20"/>
          <w:szCs w:val="20"/>
        </w:rPr>
        <w:t xml:space="preserve">Das Gemisch enthält Stoffe, für die in der Slowakischen Republik gemäß der Regierungsverordnung Nr. 1 die folgenden höchsten zulässigen Konzentrationen in der Arbeitsatmosphäre festgelegt sind. 361/2007 Slg., in der geänderten Fassung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Chemischer Name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Notiz</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Portlandzement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Calciumhydroxid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Grenzwerte der Expositionswerte am Arbeitsplatz gemäß Verordnung Nr. 2006/15/EG – nicht gelistet</w:t>
      </w:r>
    </w:p>
    <w:p>
      <w:pPr>
        <w:pStyle w:val="Normal"/>
        <w:spacing w:lineRule="auto" w:line="240" w:before="0" w:after="0"/>
        <w:rPr>
          <w:rFonts w:ascii="Arial Narrow" w:hAnsi="Arial Narrow"/>
          <w:b/>
          <w:b/>
          <w:sz w:val="20"/>
          <w:szCs w:val="20"/>
        </w:rPr>
      </w:pPr>
      <w:r>
        <w:rPr>
          <w:rFonts w:ascii="Arial Narrow" w:hAnsi="Arial Narrow"/>
          <w:b/>
          <w:sz w:val="20"/>
          <w:szCs w:val="20"/>
        </w:rPr>
        <w:t>Die Grenzwerte der Indikatoren für biologische Expositionstests sind in der Verordnung Nr. 432/2003 Slg.</w:t>
      </w:r>
    </w:p>
    <w:p>
      <w:pPr>
        <w:pStyle w:val="Normal"/>
        <w:spacing w:lineRule="auto" w:line="240" w:before="0" w:after="0"/>
        <w:rPr/>
      </w:pPr>
      <w:r>
        <w:rPr>
          <w:rFonts w:ascii="Arial Narrow" w:hAnsi="Arial Narrow"/>
          <w:b/>
          <w:sz w:val="20"/>
          <w:szCs w:val="20"/>
        </w:rPr>
        <w:t xml:space="preserve">DNEL- und PNEC-Werte: </w:t>
      </w:r>
      <w:r>
        <w:rPr>
          <w:rFonts w:ascii="Arial Narrow" w:hAnsi="Arial Narrow"/>
          <w:sz w:val="20"/>
          <w:szCs w:val="20"/>
        </w:rPr>
        <w:t>noch nicht verfügbar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Begrenzung der Exposition</w:t>
      </w:r>
    </w:p>
    <w:p>
      <w:pPr>
        <w:pStyle w:val="Normal"/>
        <w:spacing w:lineRule="auto" w:line="240" w:before="0" w:after="0"/>
        <w:jc w:val="both"/>
        <w:rPr>
          <w:rFonts w:ascii="Arial Narrow" w:hAnsi="Arial Narrow"/>
          <w:sz w:val="20"/>
          <w:szCs w:val="20"/>
        </w:rPr>
      </w:pPr>
      <w:r>
        <w:rPr>
          <w:rFonts w:ascii="Arial Narrow" w:hAnsi="Arial Narrow"/>
          <w:sz w:val="20"/>
          <w:szCs w:val="20"/>
        </w:rPr>
        <w:t>Um die Exposition zu begrenzen, muss die Staubbildung verhindert werden. Darüber hinaus wird eine geeignete Schutzausrüstung empfohlen. Augenschutz (z. B. Schutzbrille oder Gesichtsschutz) ist zu verwenden, wenn Art und Art der Nutzung einen möglichen Kontakt mit den Augen nicht ausschließen können (z. B. geschlossener Prozess), weiterer Gesichtsschutz, Schutzkleidung und Sicherheitsschuhe.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Geeignete technische Maßnahmen</w:t>
      </w:r>
    </w:p>
    <w:p>
      <w:pPr>
        <w:pStyle w:val="Normal"/>
        <w:spacing w:lineRule="auto" w:line="240" w:before="0" w:after="0"/>
        <w:rPr>
          <w:rFonts w:ascii="Arial Narrow" w:hAnsi="Arial Narrow"/>
          <w:sz w:val="20"/>
          <w:szCs w:val="20"/>
        </w:rPr>
      </w:pPr>
      <w:r>
        <w:rPr>
          <w:rFonts w:ascii="Arial Narrow" w:hAnsi="Arial Narrow"/>
          <w:sz w:val="20"/>
          <w:szCs w:val="20"/>
        </w:rPr>
        <w:t>Sorgen Sie für eine ausreichende Belüftung des Arbeitsplatzes. oder Belüftung. Wenn dies nicht möglich ist, verwenden Sie persönliche Schutzausrüstung zum Atemschutz. Der Umgang mit Trockenmischungen und die Reinigung des Arbeitsplatzes müssen durch Techniken gewährleistet sein, die die Staubkonzentration in der Arbeitsatmosphäre nicht erhöhen. Beim Arbeiten mit Trockenmischungen außerhalb von Bauobjekten ist es erforderlich, dass sich der Arbeiter bei Wind vom Austrittspunkt der Staubpartikel in die Luft entgegen der Richtung der Windströmung bewegt. Für den Fall, dass beim Umgang mit dem Produkt die Möglichkeit eines Augenkontakts besteht, ist es ratsam, eine Wasserquelle in Reichweite für eine schnelle Augenspülung bereitzustellen.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Schutzmaßnahmen, einschließlich persönlicher Schutzausrüstung</w:t>
      </w:r>
    </w:p>
    <w:p>
      <w:pPr>
        <w:pStyle w:val="Normal"/>
        <w:spacing w:lineRule="auto" w:line="240" w:before="0" w:after="0"/>
        <w:rPr>
          <w:rFonts w:ascii="Arial Narrow" w:hAnsi="Arial Narrow"/>
          <w:b/>
          <w:b/>
          <w:sz w:val="20"/>
          <w:szCs w:val="20"/>
        </w:rPr>
      </w:pPr>
      <w:r>
        <w:rPr>
          <w:rFonts w:ascii="Arial Narrow" w:hAnsi="Arial Narrow"/>
          <w:b/>
          <w:sz w:val="20"/>
          <w:szCs w:val="20"/>
        </w:rPr>
        <w:t>a) Atemschutz</w:t>
      </w:r>
    </w:p>
    <w:p>
      <w:pPr>
        <w:pStyle w:val="Normal"/>
        <w:spacing w:lineRule="auto" w:line="240" w:before="0" w:after="0"/>
        <w:rPr>
          <w:rFonts w:ascii="Arial Narrow" w:hAnsi="Arial Narrow"/>
          <w:sz w:val="20"/>
          <w:szCs w:val="20"/>
        </w:rPr>
      </w:pPr>
      <w:r>
        <w:rPr>
          <w:rFonts w:ascii="Arial Narrow" w:hAnsi="Arial Narrow"/>
          <w:sz w:val="20"/>
          <w:szCs w:val="20"/>
        </w:rPr>
        <w:t>Beim Öffnen der Verpackung mit der Trockenmischung, beim Ausgießen aus der Verpackung oder beim Umfüllen der Trockenmischung in Arbeitsbehälter und in der Anfangsphase, wenn der Trockenmischung Anmachwasser zugesetzt wird, ist das Tragen einer Maske oder Atemschutzmaske erforderlich einen Staubfilter mit einem Schutzfaktor von mindestens 10.</w:t>
      </w:r>
    </w:p>
    <w:p>
      <w:pPr>
        <w:pStyle w:val="Normal"/>
        <w:spacing w:lineRule="auto" w:line="240" w:before="0" w:after="0"/>
        <w:rPr>
          <w:rFonts w:ascii="Arial Narrow" w:hAnsi="Arial Narrow"/>
          <w:b/>
          <w:b/>
          <w:sz w:val="20"/>
          <w:szCs w:val="20"/>
        </w:rPr>
      </w:pPr>
      <w:r>
        <w:rPr>
          <w:rFonts w:ascii="Arial Narrow" w:hAnsi="Arial Narrow"/>
          <w:b/>
          <w:sz w:val="20"/>
          <w:szCs w:val="20"/>
        </w:rPr>
        <w:t>b) Augen- und Gesichtsschutz</w:t>
      </w:r>
    </w:p>
    <w:p>
      <w:pPr>
        <w:pStyle w:val="Normal"/>
        <w:spacing w:lineRule="auto" w:line="240" w:before="0" w:after="0"/>
        <w:jc w:val="both"/>
        <w:rPr>
          <w:rFonts w:ascii="Arial Narrow" w:hAnsi="Arial Narrow"/>
          <w:sz w:val="20"/>
          <w:szCs w:val="20"/>
        </w:rPr>
      </w:pPr>
      <w:r>
        <w:rPr>
          <w:rFonts w:ascii="Arial Narrow" w:hAnsi="Arial Narrow"/>
          <w:sz w:val="20"/>
          <w:szCs w:val="20"/>
        </w:rPr>
        <w:t>Wird beim Arbeiten mit der Trockenmischung keine Vollgesichtsschutzmaske verwendet, sollte eine dichte Schutzbrille getragen werden, um zu verhindern, dass Staubpartikel in die Augen gelangen. Auch beim Umgang mit nassem Mörtel oder Leim, bei dem die Gefahr von Materialspritzern besteht, ist das Tragen einer Schutzbrille erforderlich. Besonders beim Werfen oder Auftragen von Mörtel über Kopfhöhe.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Hautschutz</w:t>
      </w:r>
    </w:p>
    <w:p>
      <w:pPr>
        <w:pStyle w:val="Normal"/>
        <w:spacing w:lineRule="auto" w:line="240" w:before="0" w:after="0"/>
        <w:jc w:val="both"/>
        <w:rPr>
          <w:rFonts w:ascii="Arial Narrow" w:hAnsi="Arial Narrow"/>
          <w:sz w:val="20"/>
          <w:szCs w:val="20"/>
        </w:rPr>
      </w:pPr>
      <w:r>
        <w:rPr>
          <w:rFonts w:ascii="Arial Narrow" w:hAnsi="Arial Narrow"/>
          <w:sz w:val="20"/>
          <w:szCs w:val="20"/>
        </w:rPr>
        <w:t>Da sowohl trockene als auch feuchte Mischungen die Haut reizen, sollte die Exposition so weit wie technisch möglich minimiert werden. Die Arbeiten erfordern das Tragen von Schutzhandschuhen, handelsüblicher Vollhautschutzkleidung mit enganliegenden Ärmeln und Hosen, die das Eindringen von Staub verhindern, sowie das Tragen von laugenbeständigen und staubbeständigen Schuhen.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Begrenzung der Umweltverschmutzung</w:t>
      </w:r>
    </w:p>
    <w:p>
      <w:pPr>
        <w:pStyle w:val="Normal"/>
        <w:spacing w:lineRule="auto" w:line="240" w:before="0" w:after="0"/>
        <w:rPr>
          <w:rFonts w:ascii="Arial Narrow" w:hAnsi="Arial Narrow"/>
          <w:sz w:val="20"/>
          <w:szCs w:val="20"/>
        </w:rPr>
      </w:pPr>
      <w:r>
        <w:rPr>
          <w:rFonts w:ascii="Arial Narrow" w:hAnsi="Arial Narrow"/>
          <w:sz w:val="20"/>
          <w:szCs w:val="20"/>
        </w:rPr>
        <w:t>Stellen Sie sicher, dass die Verpackung während der Lagerung, Handhabung und des Transports geschlossen ist. Sichern Sie die Lagerbereiche gegen ein mögliches Austreten des Produkts in die Umgebung (in die Kanalisation, ins Wasser und in den Boden – siehe 6.2). Mögliches Austreten des Produkts. Nicht in die Kanalisation oder Gewässer gelangen lassen. Der pH-Wert des mit dem Produkt verunreinigten Wassers, das in großen Mengen in die Kanalisation gelangen kann, sollte 9 nicht überschreiten.</w:t>
      </w:r>
    </w:p>
    <w:p>
      <w:pPr>
        <w:pStyle w:val="Normal"/>
        <w:spacing w:lineRule="auto" w:line="240" w:before="0" w:after="0"/>
        <w:rPr>
          <w:rFonts w:ascii="Arial Narrow" w:hAnsi="Arial Narrow"/>
          <w:sz w:val="20"/>
          <w:szCs w:val="20"/>
        </w:rPr>
      </w:pPr>
      <w:r>
        <w:rPr>
          <w:rFonts w:ascii="Arial Narrow" w:hAnsi="Arial Narrow"/>
          <w:sz w:val="20"/>
          <w:szCs w:val="20"/>
        </w:rPr>
        <w:t>Rüsten Sie den Arbeitsplatz und die Lager mit den Mitteln aus, um eine versehentliche Verschüttung zu beheben.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9. PHYSIKALISCHE UND CHEMISCHE EIGENSCHAFTEN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Aggregatzustand: </w:t>
        <w:tab/>
        <w:tab/>
        <w:tab/>
        <w:t>loser Feststoff, Pulver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Farbe: </w:t>
        <w:tab/>
        <w:tab/>
        <w:tab/>
        <w:tab/>
        <w:t>Grau und Weiß</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Geruch: </w:t>
        <w:tab/>
        <w:tab/>
        <w:tab/>
        <w:tab/>
        <w:t>geruchlos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pH-Wert: </w:t>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Schmelzpunkt/Gefrierpunkt </w:t>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Siedepunkt: </w:t>
        <w:tab/>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Flammpunkt: </w:t>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Verdunstungsrate: </w:t>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Entflammbarkeit: </w:t>
        <w:tab/>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Explosive Eigenschaften: </w:t>
        <w:tab/>
        <w:tab/>
        <w:tab/>
        <w:t>nicht explosiv, Obergrenze – nicht bekannt, Untergrenze – 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Oxidierende Eigenschaften: </w:t>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Dampfspannung: </w:t>
        <w:tab/>
        <w:tab/>
        <w:tab/>
        <w:tab/>
        <w:t>nicht bekannt</w:t>
      </w:r>
    </w:p>
    <w:p>
      <w:pPr>
        <w:pStyle w:val="Normal"/>
        <w:spacing w:lineRule="auto" w:line="240" w:before="0" w:after="0"/>
        <w:ind w:left="567" w:hanging="0"/>
        <w:rPr/>
      </w:pPr>
      <w:r>
        <w:rPr>
          <w:rFonts w:ascii="Arial Narrow" w:hAnsi="Arial Narrow"/>
          <w:sz w:val="20"/>
          <w:szCs w:val="20"/>
        </w:rPr>
        <w:t xml:space="preserve">Relative Dichte (bei 18 </w:t>
      </w:r>
      <w:r>
        <w:rPr>
          <w:rFonts w:ascii="Arial Narrow" w:hAnsi="Arial Narrow"/>
          <w:sz w:val="20"/>
          <w:szCs w:val="20"/>
          <w:vertAlign w:val="superscript"/>
        </w:rPr>
        <w:t xml:space="preserve">° </w:t>
      </w:r>
      <w:r>
        <w:rPr>
          <w:rFonts w:ascii="Arial Narrow" w:hAnsi="Arial Narrow"/>
          <w:sz w:val="20"/>
          <w:szCs w:val="20"/>
        </w:rPr>
        <w:t xml:space="preserve">C): </w:t>
        <w:tab/>
        <w:tab/>
        <w:t>nicht bekannt</w:t>
      </w:r>
    </w:p>
    <w:p>
      <w:pPr>
        <w:pStyle w:val="Normal"/>
        <w:spacing w:lineRule="auto" w:line="240" w:before="0" w:after="0"/>
        <w:ind w:left="567" w:hanging="0"/>
        <w:rPr/>
      </w:pPr>
      <w:r>
        <w:rPr>
          <w:rFonts w:ascii="Arial Narrow" w:hAnsi="Arial Narrow"/>
          <w:sz w:val="20"/>
          <w:szCs w:val="20"/>
        </w:rPr>
        <w:t xml:space="preserve">Löslichkeit in Wasser (bei 18 </w:t>
      </w:r>
      <w:r>
        <w:rPr>
          <w:rFonts w:ascii="Arial Narrow" w:hAnsi="Arial Narrow"/>
          <w:sz w:val="20"/>
          <w:szCs w:val="20"/>
          <w:vertAlign w:val="superscript"/>
        </w:rPr>
        <w:t xml:space="preserve">° </w:t>
      </w:r>
      <w:r>
        <w:rPr>
          <w:rFonts w:ascii="Arial Narrow" w:hAnsi="Arial Narrow"/>
          <w:sz w:val="20"/>
          <w:szCs w:val="20"/>
        </w:rPr>
        <w:t xml:space="preserve">C): </w:t>
        <w:tab/>
        <w:t>Schwer löslich in Wasser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Fettlöslichkeit: </w:t>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Verteilungskoeffizient n-Octanol/Wasser: </w:t>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Viskosität: </w:t>
        <w:tab/>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Dampfdichte: </w:t>
        <w:tab/>
        <w:tab/>
        <w:tab/>
        <w:t>nicht bekannt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Verdunstungsrate: </w:t>
        <w:tab/>
        <w:tab/>
        <w:t>nicht bekannt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10. STABILITÄT UND REAKTIVITÄT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Reaktivität</w:t>
      </w:r>
    </w:p>
    <w:p>
      <w:pPr>
        <w:pStyle w:val="Normal"/>
        <w:spacing w:lineRule="auto" w:line="240" w:before="0" w:after="0"/>
        <w:rPr>
          <w:rFonts w:ascii="Arial Narrow" w:hAnsi="Arial Narrow"/>
          <w:sz w:val="20"/>
          <w:szCs w:val="20"/>
        </w:rPr>
      </w:pPr>
      <w:r>
        <w:rPr>
          <w:rFonts w:ascii="Arial Narrow" w:hAnsi="Arial Narrow"/>
          <w:sz w:val="20"/>
          <w:szCs w:val="20"/>
        </w:rPr>
        <w:t>Beim Mischen mit Wasser entsteht eine stark alkalische Mischung, die nach und nach aushärtet. Nach dem Aushärten der gesamten Mischung entsteht eine stabile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Chemische Stabilität</w:t>
      </w:r>
    </w:p>
    <w:p>
      <w:pPr>
        <w:pStyle w:val="Normal"/>
        <w:spacing w:lineRule="auto" w:line="240" w:before="0" w:after="0"/>
        <w:jc w:val="both"/>
        <w:rPr>
          <w:rFonts w:ascii="Arial Narrow" w:hAnsi="Arial Narrow"/>
          <w:sz w:val="20"/>
          <w:szCs w:val="20"/>
        </w:rPr>
      </w:pPr>
      <w:r>
        <w:rPr>
          <w:rFonts w:ascii="Arial Narrow" w:hAnsi="Arial Narrow"/>
          <w:sz w:val="20"/>
          <w:szCs w:val="20"/>
        </w:rPr>
        <w:t>Bei normalem Gebrauch ist das Produkt stabil, wenn es vorschriftsmäßig gelagert und gehandhabt wird. Schützen Sie die Mischung vor der Einwirkung von Wasser und Luftfeuchtigkeit. Eine Zersetzung findet nicht statt. Halten Sie das Produkt trocken. Der Kontakt mit unverträglichen Materialien ist auszuschließen.</w:t>
      </w:r>
    </w:p>
    <w:p>
      <w:pPr>
        <w:pStyle w:val="Normal"/>
        <w:spacing w:lineRule="auto" w:line="240" w:before="0" w:after="0"/>
        <w:jc w:val="both"/>
        <w:rPr>
          <w:rFonts w:ascii="Arial Narrow" w:hAnsi="Arial Narrow"/>
          <w:sz w:val="20"/>
          <w:szCs w:val="20"/>
        </w:rPr>
      </w:pPr>
      <w:r>
        <w:rPr>
          <w:rFonts w:ascii="Arial Narrow" w:hAnsi="Arial Narrow"/>
          <w:sz w:val="20"/>
          <w:szCs w:val="20"/>
        </w:rPr>
        <w:t>Die feuchte Mischung ist alkalisch/alkalisch und reagiert mit Säuren, Ammoniumsalzen, Aluminium oder anderen unedlen Metallen. Portlandzement löst sich in Flusssäure auf und bildet ätzendes Siliziumtetrafluoridgas. Portlandzemente reagieren mit Wasser unter Bildung von Silikaten und Calciumhydroxid. Silikate in Zementen reagieren mit starken Oxidationsmitteln wie Fluor, Borfluorid, Chlorfluorid, Manganfluorid und Sauerstoffdifluorid.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Möglichkeit gefährlicher Reaktionen</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Der unkontrollierte Einsatz von Aluminiumpulver sollte vermieden werden, da bei der Reaktion mit Zement und Calciumhydroxid Wasserstoff entsteht/entwickelt wird. Calciumhydroxid reagiert exotherm mit Säuren. Nach Erhitzen über 580 °C zersetzt sich Calciumhydroxid unter Bildung von Calciumoxid (CaO) und Wasser (H2O): Ca(OH)2 -&gt; CaO + H2O. Calciumoxid reagiert mit Wasser unter Erzeugung von Wärme. Dies kann für brennbare Materialien gefährlich sein.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Zu vermeidende Bedingungen:</w:t>
      </w:r>
    </w:p>
    <w:p>
      <w:pPr>
        <w:pStyle w:val="Normal"/>
        <w:spacing w:lineRule="auto" w:line="240" w:before="0" w:after="0"/>
        <w:rPr>
          <w:rFonts w:ascii="Arial Narrow" w:hAnsi="Arial Narrow"/>
          <w:sz w:val="20"/>
          <w:szCs w:val="20"/>
        </w:rPr>
      </w:pPr>
      <w:r>
        <w:rPr>
          <w:rFonts w:ascii="Arial Narrow" w:hAnsi="Arial Narrow"/>
          <w:sz w:val="20"/>
          <w:szCs w:val="20"/>
        </w:rPr>
        <w:t>Vermeiden Sie während der Lagerung die Einwirkung von Luft und Feuchtigkeit, da dies zu einem Verlust der Produktqualität (Zusammenbacken) führen kann.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Inkompatible Materialien</w:t>
      </w:r>
    </w:p>
    <w:p>
      <w:pPr>
        <w:pStyle w:val="Normal"/>
        <w:spacing w:lineRule="auto" w:line="240" w:before="0" w:after="0"/>
        <w:rPr>
          <w:rFonts w:ascii="Arial Narrow" w:hAnsi="Arial Narrow"/>
          <w:sz w:val="20"/>
          <w:szCs w:val="20"/>
        </w:rPr>
      </w:pPr>
      <w:r>
        <w:rPr>
          <w:rFonts w:ascii="Arial Narrow" w:hAnsi="Arial Narrow"/>
          <w:sz w:val="20"/>
          <w:szCs w:val="20"/>
        </w:rPr>
        <w:t>Säuren, Ammoniumsalze, Aluminium oder andere unedle Metalle.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Gefährliche Zersetzungsprodukte: </w:t>
      </w:r>
      <w:r>
        <w:rPr>
          <w:rFonts w:ascii="Arial Narrow" w:hAnsi="Arial Narrow"/>
          <w:sz w:val="20"/>
          <w:szCs w:val="20"/>
        </w:rPr>
        <w:t>entsorgen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11. TOXIKOLOGISCHE 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Angaben zu toxikologischen Wirkungen: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Menschliche Erfahrung:</w:t>
      </w:r>
    </w:p>
    <w:p>
      <w:pPr>
        <w:pStyle w:val="Normal"/>
        <w:spacing w:lineRule="auto" w:line="240" w:before="0" w:after="0"/>
        <w:rPr>
          <w:rFonts w:ascii="Arial Narrow" w:hAnsi="Arial Narrow"/>
          <w:sz w:val="20"/>
          <w:szCs w:val="20"/>
        </w:rPr>
      </w:pPr>
      <w:r>
        <w:rPr>
          <w:rFonts w:ascii="Arial Narrow" w:hAnsi="Arial Narrow"/>
          <w:sz w:val="20"/>
          <w:szCs w:val="20"/>
        </w:rPr>
        <w:t>Durch Mischen der Mischung mit Wasser bzw Mit Feuchtigkeit entsteht ein stark alkalisches Gemisch mit reizender Wirkung. Das Produkt reizt in Form von Staub und beim Mischen mit Wasser die Bindehäute und die Haut. Staub kann Reizungen der Atemwege verursachen.</w:t>
      </w:r>
    </w:p>
    <w:p>
      <w:pPr>
        <w:pStyle w:val="Normal"/>
        <w:spacing w:lineRule="auto" w:line="240" w:before="0" w:after="0"/>
        <w:rPr>
          <w:rFonts w:ascii="Arial Narrow" w:hAnsi="Arial Narrow"/>
          <w:sz w:val="20"/>
          <w:szCs w:val="20"/>
        </w:rPr>
      </w:pPr>
      <w:r>
        <w:rPr>
          <w:rFonts w:ascii="Arial Narrow" w:hAnsi="Arial Narrow"/>
          <w:sz w:val="20"/>
          <w:szCs w:val="20"/>
        </w:rPr>
        <w:t>Hohe Staubkonzentrationen reizen die Atmungsorgane (Husten, Niesen, Atemnot).</w:t>
      </w:r>
    </w:p>
    <w:p>
      <w:pPr>
        <w:pStyle w:val="Normal"/>
        <w:spacing w:lineRule="auto" w:line="240" w:before="0" w:after="0"/>
        <w:rPr>
          <w:rFonts w:ascii="Arial Narrow" w:hAnsi="Arial Narrow"/>
          <w:sz w:val="20"/>
          <w:szCs w:val="20"/>
        </w:rPr>
      </w:pPr>
      <w:r>
        <w:rPr>
          <w:rFonts w:ascii="Arial Narrow" w:hAnsi="Arial Narrow"/>
          <w:sz w:val="20"/>
          <w:szCs w:val="20"/>
        </w:rPr>
        <w:t>Bei Kontakt mit den Augen hat das Gemisch eine reizende Wirkung, bei massivem Eingriff oder unzureichender Behandlung (sofortige Augenspülung über mehrere Minuten ist notwendig) kann es zu Augenentzündungen bis hin zu Verätzungen kommen, die zu bleibenden Augenschäden (Blindheit) führen können. .</w:t>
      </w:r>
    </w:p>
    <w:p>
      <w:pPr>
        <w:pStyle w:val="Normal"/>
        <w:spacing w:lineRule="auto" w:line="240" w:before="0" w:after="0"/>
        <w:rPr>
          <w:rFonts w:ascii="Arial Narrow" w:hAnsi="Arial Narrow"/>
          <w:sz w:val="20"/>
          <w:szCs w:val="20"/>
        </w:rPr>
      </w:pPr>
      <w:r>
        <w:rPr>
          <w:rFonts w:ascii="Arial Narrow" w:hAnsi="Arial Narrow"/>
          <w:sz w:val="20"/>
          <w:szCs w:val="20"/>
        </w:rPr>
        <w:t>Wiederholter Kontakt der meist feuchten Mischung mit ungeschützter Haut kann zu Hautreizungen (irritativer Kontaktdermatitis) führen. Dermatitis äußert sich durch Juckreiz der entzündeten Haut. Die Haut sieht rot, schuppig und rissig aus.</w:t>
      </w:r>
    </w:p>
    <w:p>
      <w:pPr>
        <w:pStyle w:val="Normal"/>
        <w:spacing w:lineRule="auto" w:line="240" w:before="0" w:after="0"/>
        <w:rPr>
          <w:rFonts w:ascii="Arial Narrow" w:hAnsi="Arial Narrow"/>
          <w:sz w:val="20"/>
          <w:szCs w:val="20"/>
        </w:rPr>
      </w:pPr>
      <w:r>
        <w:rPr>
          <w:rFonts w:ascii="Arial Narrow" w:hAnsi="Arial Narrow"/>
          <w:sz w:val="20"/>
          <w:szCs w:val="20"/>
        </w:rPr>
        <w:t>Reizende Kontaktdermatitis wird durch eine Kombination der physikalischen Eigenschaften des Arzneimittels (Nässe, hohe Alkalität und Abrieb) verursacht.</w:t>
      </w:r>
    </w:p>
    <w:p>
      <w:pPr>
        <w:pStyle w:val="Normal"/>
        <w:spacing w:lineRule="auto" w:line="240" w:before="0" w:after="0"/>
        <w:rPr>
          <w:rFonts w:ascii="Arial Narrow" w:hAnsi="Arial Narrow"/>
          <w:sz w:val="20"/>
          <w:szCs w:val="20"/>
        </w:rPr>
      </w:pPr>
      <w:r>
        <w:rPr>
          <w:rFonts w:ascii="Arial Narrow" w:hAnsi="Arial Narrow"/>
          <w:sz w:val="20"/>
          <w:szCs w:val="20"/>
        </w:rPr>
        <w:t>Längerer Kontakt von nassem Zement/Zementgemisch mit der Haut bei gleichzeitiger Reibung kann zu schweren Verbrennungen führen.</w:t>
      </w:r>
    </w:p>
    <w:p>
      <w:pPr>
        <w:pStyle w:val="Normal"/>
        <w:spacing w:lineRule="auto" w:line="240" w:before="0" w:after="0"/>
        <w:rPr>
          <w:rFonts w:ascii="Arial Narrow" w:hAnsi="Arial Narrow"/>
          <w:sz w:val="20"/>
          <w:szCs w:val="20"/>
        </w:rPr>
      </w:pPr>
      <w:r>
        <w:rPr>
          <w:rFonts w:ascii="Arial Narrow" w:hAnsi="Arial Narrow"/>
          <w:sz w:val="20"/>
          <w:szCs w:val="20"/>
        </w:rPr>
        <w:t>Gesundheitszustände, die sich durch die Exposition verschlechtern. Das Einatmen von Zementstaub kann bestehende Atemwegserkrankungen oder Gesundheitszustände wie Emphyseme (Lungenschwellung) oder Asthma oder bestehende Haut- oder Augenerkrankungen verschlimmern.</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Angaben zu toxikologischen Wirkungen</w:t>
      </w:r>
    </w:p>
    <w:p>
      <w:pPr>
        <w:pStyle w:val="Normal"/>
        <w:spacing w:lineRule="auto" w:line="240" w:before="0" w:after="0"/>
        <w:rPr>
          <w:rFonts w:ascii="Arial Narrow" w:hAnsi="Arial Narrow"/>
          <w:sz w:val="20"/>
          <w:szCs w:val="20"/>
        </w:rPr>
      </w:pPr>
      <w:r>
        <w:rPr>
          <w:rFonts w:ascii="Arial Narrow" w:hAnsi="Arial Narrow"/>
          <w:sz w:val="20"/>
          <w:szCs w:val="20"/>
        </w:rPr>
        <w:t>Akute Toxizität für Komponenten:</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Ratte)</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Kaninchen</w:t>
      </w:r>
    </w:p>
    <w:p>
      <w:pPr>
        <w:pStyle w:val="Normal"/>
        <w:spacing w:lineRule="auto" w:line="240" w:before="0" w:after="0"/>
        <w:rPr>
          <w:rFonts w:ascii="Arial Narrow" w:hAnsi="Arial Narrow"/>
          <w:sz w:val="20"/>
          <w:szCs w:val="20"/>
        </w:rPr>
      </w:pPr>
      <w:r>
        <w:rPr>
          <w:rFonts w:ascii="Arial Narrow" w:hAnsi="Arial Narrow"/>
          <w:sz w:val="20"/>
          <w:szCs w:val="20"/>
        </w:rPr>
        <w:t>Einatmen: Keine Daten verfügbar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Bei der Klassifizierung der Mischung wurden der pH-Wert der Nassmischung (11 – 13,5), die allgemeinen Konzentrationsgrenzen der Komponenten der Mischung sowie Angaben aus den Sicherheitsdatenblättern der einzelnen Komponenten unter Bezugnahme auf die Literatur berücksichtigt.</w:t>
      </w:r>
    </w:p>
    <w:p>
      <w:pPr>
        <w:pStyle w:val="Normal"/>
        <w:spacing w:lineRule="auto" w:line="240" w:before="0" w:after="0"/>
        <w:rPr>
          <w:rFonts w:ascii="Arial Narrow" w:hAnsi="Arial Narrow"/>
          <w:sz w:val="20"/>
          <w:szCs w:val="20"/>
        </w:rPr>
      </w:pPr>
      <w:r>
        <w:rPr>
          <w:rFonts w:ascii="Arial Narrow" w:hAnsi="Arial Narrow"/>
          <w:sz w:val="20"/>
          <w:szCs w:val="20"/>
        </w:rPr>
        <w:t>a) Akute Toxizität: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b) Reizung: Aufgrund der Eigenschaften der einzelnen Komponenten wurde das Gemisch wie folgt klassifiziert:</w:t>
      </w:r>
    </w:p>
    <w:p>
      <w:pPr>
        <w:pStyle w:val="Normal"/>
        <w:spacing w:lineRule="auto" w:line="240" w:before="0" w:after="0"/>
        <w:rPr>
          <w:rFonts w:ascii="Arial Narrow" w:hAnsi="Arial Narrow"/>
          <w:sz w:val="20"/>
          <w:szCs w:val="20"/>
        </w:rPr>
      </w:pPr>
      <w:r>
        <w:rPr>
          <w:rFonts w:ascii="Arial Narrow" w:hAnsi="Arial Narrow"/>
          <w:sz w:val="20"/>
          <w:szCs w:val="20"/>
        </w:rPr>
        <w:t>Schwere Augenschädigung, Kategorie 1 – Augenschaden. 1 (H318)</w:t>
      </w:r>
    </w:p>
    <w:p>
      <w:pPr>
        <w:pStyle w:val="Normal"/>
        <w:spacing w:lineRule="auto" w:line="240" w:before="0" w:after="0"/>
        <w:rPr>
          <w:rFonts w:ascii="Arial Narrow" w:hAnsi="Arial Narrow"/>
          <w:sz w:val="20"/>
          <w:szCs w:val="20"/>
        </w:rPr>
      </w:pPr>
      <w:r>
        <w:rPr>
          <w:rFonts w:ascii="Arial Narrow" w:hAnsi="Arial Narrow"/>
          <w:sz w:val="20"/>
          <w:szCs w:val="20"/>
        </w:rPr>
        <w:t>Hautreizung, Kategorie 2 – Hautreizung. 2 (H315)</w:t>
      </w:r>
    </w:p>
    <w:p>
      <w:pPr>
        <w:pStyle w:val="Normal"/>
        <w:spacing w:lineRule="auto" w:line="240" w:before="0" w:after="0"/>
        <w:rPr>
          <w:rFonts w:ascii="Arial Narrow" w:hAnsi="Arial Narrow"/>
          <w:sz w:val="20"/>
          <w:szCs w:val="20"/>
        </w:rPr>
      </w:pPr>
      <w:r>
        <w:rPr>
          <w:rFonts w:ascii="Arial Narrow" w:hAnsi="Arial Narrow"/>
          <w:sz w:val="20"/>
          <w:szCs w:val="20"/>
        </w:rPr>
        <w:t>c) Korrosivität: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d) Sensibilisierung: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e) Toxizität bei wiederholter Verabreichung: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f) Karzinogenität: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g) Mutagenität: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h) Reproduktionstoxizität: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i) Toxizität für ein bestimmtes Zielorgan – einmalige Exposition: Basierend auf den Eigenschaften der einzelnen Komponenten wurde das Gemisch wie folgt klassifiziert:</w:t>
      </w:r>
    </w:p>
    <w:p>
      <w:pPr>
        <w:pStyle w:val="Normal"/>
        <w:spacing w:lineRule="auto" w:line="240" w:before="0" w:after="0"/>
        <w:rPr>
          <w:rFonts w:ascii="Arial Narrow" w:hAnsi="Arial Narrow"/>
          <w:sz w:val="20"/>
          <w:szCs w:val="20"/>
        </w:rPr>
      </w:pPr>
      <w:r>
        <w:rPr>
          <w:rFonts w:ascii="Arial Narrow" w:hAnsi="Arial Narrow"/>
          <w:sz w:val="20"/>
          <w:szCs w:val="20"/>
        </w:rPr>
        <w:t>Spezifische Zielorgan-Toxizität – einmalige Exposition, Reizung der Atemwege – STOT SE 3 (H335)</w:t>
      </w:r>
    </w:p>
    <w:p>
      <w:pPr>
        <w:pStyle w:val="Normal"/>
        <w:spacing w:lineRule="auto" w:line="240" w:before="0" w:after="0"/>
        <w:rPr>
          <w:rFonts w:ascii="Arial Narrow" w:hAnsi="Arial Narrow"/>
          <w:sz w:val="20"/>
          <w:szCs w:val="20"/>
        </w:rPr>
      </w:pPr>
      <w:r>
        <w:rPr>
          <w:rFonts w:ascii="Arial Narrow" w:hAnsi="Arial Narrow"/>
          <w:sz w:val="20"/>
          <w:szCs w:val="20"/>
        </w:rPr>
        <w:t>j) Toxizität für ein bestimmtes Zielorgan – wiederholte Exposition: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t>k) Aspirationsgefahr: für das Gemisch nicht bestimmt; Aufgrund der Eigenschaften der einzelnen Komponenten erfüllt das Gemisch diese Einstufung nicht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12. ÖKOLOGISCHE 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Durch das Mischen des Produkts mit Wasser erhöht sich der pH-Wert (11 - 13,5), die Mischung ist stark alkalisch und kann kurzfristig eine Gefahr für Wasserorganismen darstellen. Der pH-Wert hängt von der Konzentration des Produkts im Wasser ab. Durch die Verdünnung sinkt der pH-Wert schnell. Nach dem Aushärten des Produkts, Kontakt mit Wasser oder Luftfeuchtigkeit stellt das Produkt auch für kurze Zeit keine Gefahr für Wasserorganismen dar. Verhindern Sie eine Bodenverunreinigung und eine Freisetzung in Oberflächen- oder Grundwasser, Abwasserkanäle, Wasserstraßen und die Umwelt.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Toxizität – akute und chronische Wirkungen:</w:t>
      </w:r>
    </w:p>
    <w:p>
      <w:pPr>
        <w:pStyle w:val="Normal"/>
        <w:spacing w:lineRule="auto" w:line="240" w:before="0" w:after="0"/>
        <w:rPr>
          <w:rFonts w:ascii="Arial Narrow" w:hAnsi="Arial Narrow"/>
          <w:sz w:val="20"/>
          <w:szCs w:val="20"/>
        </w:rPr>
      </w:pPr>
      <w:r>
        <w:rPr>
          <w:rFonts w:ascii="Arial Narrow" w:hAnsi="Arial Narrow"/>
          <w:sz w:val="20"/>
          <w:szCs w:val="20"/>
        </w:rPr>
        <w:t>für das Gemisch nicht ermittelt,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t>Calciumhydroxid, CAS 1305-62-0</w:t>
      </w:r>
    </w:p>
    <w:p>
      <w:pPr>
        <w:pStyle w:val="Normal"/>
        <w:spacing w:lineRule="auto" w:line="240" w:before="0" w:after="0"/>
        <w:rPr>
          <w:rFonts w:ascii="Arial Narrow" w:hAnsi="Arial Narrow"/>
          <w:sz w:val="20"/>
          <w:szCs w:val="20"/>
        </w:rPr>
      </w:pPr>
      <w:r>
        <w:rPr>
          <w:rFonts w:ascii="Arial Narrow" w:hAnsi="Arial Narrow"/>
          <w:sz w:val="20"/>
          <w:szCs w:val="20"/>
        </w:rPr>
        <w:t>LC50 (96h) für Süßwasserfische: 50,6 mg/l</w:t>
      </w:r>
    </w:p>
    <w:p>
      <w:pPr>
        <w:pStyle w:val="Normal"/>
        <w:spacing w:lineRule="auto" w:line="240" w:before="0" w:after="0"/>
        <w:rPr>
          <w:rFonts w:ascii="Arial Narrow" w:hAnsi="Arial Narrow"/>
          <w:sz w:val="20"/>
          <w:szCs w:val="20"/>
        </w:rPr>
      </w:pPr>
      <w:r>
        <w:rPr>
          <w:rFonts w:ascii="Arial Narrow" w:hAnsi="Arial Narrow"/>
          <w:sz w:val="20"/>
          <w:szCs w:val="20"/>
        </w:rPr>
        <w:t>LC50 (96h) für Meeresfische: 457 mg/l</w:t>
      </w:r>
    </w:p>
    <w:p>
      <w:pPr>
        <w:pStyle w:val="Normal"/>
        <w:spacing w:lineRule="auto" w:line="240" w:before="0" w:after="0"/>
        <w:rPr>
          <w:rFonts w:ascii="Arial Narrow" w:hAnsi="Arial Narrow"/>
          <w:sz w:val="20"/>
          <w:szCs w:val="20"/>
        </w:rPr>
      </w:pPr>
      <w:r>
        <w:rPr>
          <w:rFonts w:ascii="Arial Narrow" w:hAnsi="Arial Narrow"/>
          <w:sz w:val="20"/>
          <w:szCs w:val="20"/>
        </w:rPr>
        <w:t>EC50 (48h) für wirbellose Süßwassertiere: 49,1 mg/l</w:t>
      </w:r>
    </w:p>
    <w:p>
      <w:pPr>
        <w:pStyle w:val="Normal"/>
        <w:spacing w:lineRule="auto" w:line="240" w:before="0" w:after="0"/>
        <w:rPr>
          <w:rFonts w:ascii="Arial Narrow" w:hAnsi="Arial Narrow"/>
          <w:sz w:val="20"/>
          <w:szCs w:val="20"/>
        </w:rPr>
      </w:pPr>
      <w:r>
        <w:rPr>
          <w:rFonts w:ascii="Arial Narrow" w:hAnsi="Arial Narrow"/>
          <w:sz w:val="20"/>
          <w:szCs w:val="20"/>
        </w:rPr>
        <w:t>LC50 (96h) für wirbellose Meerestiere: 158 mg/l</w:t>
      </w:r>
    </w:p>
    <w:p>
      <w:pPr>
        <w:pStyle w:val="Normal"/>
        <w:spacing w:lineRule="auto" w:line="240" w:before="0" w:after="0"/>
        <w:rPr>
          <w:rFonts w:ascii="Arial Narrow" w:hAnsi="Arial Narrow"/>
          <w:sz w:val="20"/>
          <w:szCs w:val="20"/>
        </w:rPr>
      </w:pPr>
      <w:r>
        <w:rPr>
          <w:rFonts w:ascii="Arial Narrow" w:hAnsi="Arial Narrow"/>
          <w:sz w:val="20"/>
          <w:szCs w:val="20"/>
        </w:rPr>
        <w:t>EC50 (72h) für Süßwasseralgen: 184,57 mg/l</w:t>
      </w:r>
    </w:p>
    <w:p>
      <w:pPr>
        <w:pStyle w:val="Normal"/>
        <w:spacing w:lineRule="auto" w:line="240" w:before="0" w:after="0"/>
        <w:rPr>
          <w:rFonts w:ascii="Arial Narrow" w:hAnsi="Arial Narrow"/>
          <w:sz w:val="20"/>
          <w:szCs w:val="20"/>
        </w:rPr>
      </w:pPr>
      <w:r>
        <w:rPr>
          <w:rFonts w:ascii="Arial Narrow" w:hAnsi="Arial Narrow"/>
          <w:sz w:val="20"/>
          <w:szCs w:val="20"/>
        </w:rPr>
        <w:t>NOEC (72h) für Algen: 48 mg/l</w:t>
      </w:r>
    </w:p>
    <w:p>
      <w:pPr>
        <w:pStyle w:val="Normal"/>
        <w:spacing w:lineRule="auto" w:line="240" w:before="0" w:after="0"/>
        <w:rPr>
          <w:rFonts w:ascii="Arial Narrow" w:hAnsi="Arial Narrow"/>
          <w:sz w:val="20"/>
          <w:szCs w:val="20"/>
        </w:rPr>
      </w:pPr>
      <w:r>
        <w:rPr>
          <w:rFonts w:ascii="Arial Narrow" w:hAnsi="Arial Narrow"/>
          <w:sz w:val="20"/>
          <w:szCs w:val="20"/>
        </w:rPr>
        <w:t>NOEC (14d) für wirbellose Meerestiere: 32 mg/l</w:t>
      </w:r>
    </w:p>
    <w:p>
      <w:pPr>
        <w:pStyle w:val="Normal"/>
        <w:spacing w:lineRule="auto" w:line="240" w:before="0" w:after="0"/>
        <w:rPr>
          <w:rFonts w:ascii="Arial Narrow" w:hAnsi="Arial Narrow"/>
          <w:sz w:val="20"/>
          <w:szCs w:val="20"/>
        </w:rPr>
      </w:pPr>
      <w:r>
        <w:rPr>
          <w:rFonts w:ascii="Arial Narrow" w:hAnsi="Arial Narrow"/>
          <w:sz w:val="20"/>
          <w:szCs w:val="20"/>
        </w:rPr>
        <w:t>EC10/LC10 oder NOEC für Bodenmikroorganismen: 2000 mg/kg trockener Boden</w:t>
      </w:r>
    </w:p>
    <w:p>
      <w:pPr>
        <w:pStyle w:val="Normal"/>
        <w:spacing w:lineRule="auto" w:line="240" w:before="0" w:after="0"/>
        <w:rPr>
          <w:rFonts w:ascii="Arial Narrow" w:hAnsi="Arial Narrow"/>
          <w:sz w:val="20"/>
          <w:szCs w:val="20"/>
        </w:rPr>
      </w:pPr>
      <w:r>
        <w:rPr>
          <w:rFonts w:ascii="Arial Narrow" w:hAnsi="Arial Narrow"/>
          <w:sz w:val="20"/>
          <w:szCs w:val="20"/>
        </w:rPr>
        <w:t>EC10/LC10 oder NOEC für Bodenmikroorganismen: 12000 mg/kg trockener Boden</w:t>
      </w:r>
    </w:p>
    <w:p>
      <w:pPr>
        <w:pStyle w:val="Normal"/>
        <w:spacing w:lineRule="auto" w:line="240" w:before="0" w:after="0"/>
        <w:rPr>
          <w:rFonts w:ascii="Arial Narrow" w:hAnsi="Arial Narrow"/>
          <w:sz w:val="20"/>
          <w:szCs w:val="20"/>
        </w:rPr>
      </w:pPr>
      <w:r>
        <w:rPr>
          <w:rFonts w:ascii="Arial Narrow" w:hAnsi="Arial Narrow"/>
          <w:sz w:val="20"/>
          <w:szCs w:val="20"/>
        </w:rPr>
        <w:t>NOEC (21d) für Landpflanzen: 1080 mg/kg</w:t>
      </w:r>
    </w:p>
    <w:p>
      <w:pPr>
        <w:pStyle w:val="Normal"/>
        <w:spacing w:lineRule="auto" w:line="240" w:before="0" w:after="0"/>
        <w:rPr>
          <w:rFonts w:ascii="Arial Narrow" w:hAnsi="Arial Narrow"/>
          <w:sz w:val="20"/>
          <w:szCs w:val="20"/>
        </w:rPr>
      </w:pPr>
      <w:r>
        <w:rPr>
          <w:rFonts w:ascii="Arial Narrow" w:hAnsi="Arial Narrow"/>
          <w:sz w:val="20"/>
          <w:szCs w:val="20"/>
        </w:rPr>
        <w:t>In hoher Konzentration wird Calciumhydroxid zur Desinfektion von Abfallschlamm durch Erhöhung der Temperatur und des pH-Werts eingesetzt.</w:t>
      </w:r>
    </w:p>
    <w:p>
      <w:pPr>
        <w:pStyle w:val="Normal"/>
        <w:spacing w:lineRule="auto" w:line="240" w:before="0" w:after="0"/>
        <w:rPr>
          <w:rFonts w:ascii="Arial Narrow" w:hAnsi="Arial Narrow"/>
          <w:sz w:val="20"/>
          <w:szCs w:val="20"/>
        </w:rPr>
      </w:pPr>
      <w:r>
        <w:rPr>
          <w:rFonts w:ascii="Arial Narrow" w:hAnsi="Arial Narrow"/>
          <w:sz w:val="20"/>
          <w:szCs w:val="20"/>
        </w:rPr>
        <w:t>Akute Wirkung durch pH-Änderung – obwohl Calciumhydroxid zur Einstellung des Säuregehalts von Wasser verwendet wird, kann der Gehalt um mehr als 1 g/l gefährlich für Wasserlebewesen erhöht werden. Ein pH-Wert &gt; 12 nimmt aufgrund der Verdünnung und Umwandlung in Carbonat schnell ab.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Persistenz und Abbaubarkeit: </w:t>
      </w:r>
      <w:r>
        <w:rPr>
          <w:rFonts w:ascii="Arial Narrow" w:hAnsi="Arial Narrow"/>
          <w:sz w:val="20"/>
          <w:szCs w:val="20"/>
        </w:rPr>
        <w:t>für das Gemisch nicht bestimmt,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Bioakkumulationspotenzial:</w:t>
      </w:r>
      <w:r>
        <w:rPr/>
        <w:t xml:space="preserve"> </w:t>
      </w:r>
      <w:r>
        <w:rPr>
          <w:rFonts w:ascii="Arial Narrow" w:hAnsi="Arial Narrow"/>
          <w:sz w:val="20"/>
          <w:szCs w:val="20"/>
        </w:rPr>
        <w:t>für das Gemisch nicht ermittelt, aufgrund der Beschaffenheit der Einzelkomponenten nicht zu erwarten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Mobilität im Boden:</w:t>
      </w:r>
      <w:r>
        <w:rPr/>
        <w:t xml:space="preserve"> </w:t>
      </w:r>
      <w:r>
        <w:rPr>
          <w:rFonts w:ascii="Arial Narrow" w:hAnsi="Arial Narrow"/>
          <w:sz w:val="20"/>
          <w:szCs w:val="20"/>
        </w:rPr>
        <w:t>für das Gemisch nicht bestimmt, aufgrund der Beschaffenheit der Einzelkomponenten nicht zu erwarten; Nach dem Aushärten des Produkts mit Wasser entsteht ein stabiles festes Produkt. Calciumhydroxid selbst ist in Wasser kaum löslich und weist in den meisten Böden eine geringe Mobilität auf. Es wird unter anderem als Dünger verwendet.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Ergebnisse der PBT- und vPvB-Beurteilung: </w:t>
      </w:r>
      <w:r>
        <w:rPr>
          <w:rFonts w:ascii="Arial Narrow" w:hAnsi="Arial Narrow"/>
          <w:sz w:val="20"/>
          <w:szCs w:val="20"/>
        </w:rPr>
        <w:t>Enthält keine PBT- oder vPvB-Stoffe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Andere schädliche Wirkungen: </w:t>
      </w:r>
      <w:r>
        <w:rPr>
          <w:rFonts w:ascii="Arial Narrow" w:hAnsi="Arial Narrow"/>
          <w:sz w:val="20"/>
          <w:szCs w:val="20"/>
        </w:rPr>
        <w:t>Keine Daten verfügbar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13. ENTSORGUNGSANLEITUNG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Verfahren der Abfallbehandlung (Gemischreste und wasserbelastete Gemische)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Geeignete Methoden zur Beseitigung des Gemisches und der kontaminierten Verpackung. Sowohl das Gemisch (Reste) als auch die leere Verpackung müssen gemäß den geltenden Rechtsvorschriften als gefährlicher Abfall an einer von der Gemeinde für die Entsorgung gefährlicher Abfälle ausgewiesenen Stelle entsorgt oder zur Entsorgung übergeben werden ein fachlich qualifiziertes Unternehmen. Abfälle müssen gegen Austreten in die Umgebung gesichert werden. Beim Umgang mit Abfällen wird die Verwendung persönlicher Schutzausrüstung empfohlen (siehe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Staub: 10 13 06 Feste Schadstoffe und Staub (außer Abfälle der Nummern 10 13 12 und 10 13 13)</w:t>
      </w:r>
    </w:p>
    <w:p>
      <w:pPr>
        <w:pStyle w:val="Normal"/>
        <w:spacing w:lineRule="auto" w:line="240" w:before="0" w:after="0"/>
        <w:rPr>
          <w:rFonts w:ascii="Arial Narrow" w:hAnsi="Arial Narrow"/>
          <w:sz w:val="20"/>
          <w:szCs w:val="20"/>
        </w:rPr>
      </w:pPr>
      <w:r>
        <w:rPr>
          <w:rFonts w:ascii="Arial Narrow" w:hAnsi="Arial Narrow"/>
          <w:sz w:val="20"/>
          <w:szCs w:val="20"/>
        </w:rPr>
        <w:t>Unbenutztes Produkt:</w:t>
      </w:r>
    </w:p>
    <w:p>
      <w:pPr>
        <w:pStyle w:val="Normal"/>
        <w:spacing w:lineRule="auto" w:line="240" w:before="0" w:after="0"/>
        <w:rPr>
          <w:rFonts w:ascii="Arial Narrow" w:hAnsi="Arial Narrow"/>
          <w:sz w:val="20"/>
          <w:szCs w:val="20"/>
        </w:rPr>
      </w:pPr>
      <w:r>
        <w:rPr>
          <w:rFonts w:ascii="Arial Narrow" w:hAnsi="Arial Narrow"/>
          <w:sz w:val="20"/>
          <w:szCs w:val="20"/>
        </w:rPr>
        <w:t>10 13 11 Abfälle aus zementären Verbundwerkstoffen mit Ausnahme derjenigen, die unter 10 13 09 und 10 13 10 fallen</w:t>
      </w:r>
    </w:p>
    <w:p>
      <w:pPr>
        <w:pStyle w:val="Normal"/>
        <w:spacing w:lineRule="auto" w:line="240" w:before="0" w:after="0"/>
        <w:rPr>
          <w:rFonts w:ascii="Arial Narrow" w:hAnsi="Arial Narrow"/>
          <w:sz w:val="20"/>
          <w:szCs w:val="20"/>
        </w:rPr>
      </w:pPr>
      <w:r>
        <w:rPr>
          <w:rFonts w:ascii="Arial Narrow" w:hAnsi="Arial Narrow"/>
          <w:sz w:val="20"/>
          <w:szCs w:val="20"/>
        </w:rPr>
        <w:t>10 13 14 Abfallbeton und Betonschlamm</w:t>
      </w:r>
    </w:p>
    <w:p>
      <w:pPr>
        <w:pStyle w:val="Normal"/>
        <w:spacing w:lineRule="auto" w:line="240" w:before="0" w:after="0"/>
        <w:rPr>
          <w:rFonts w:ascii="Arial Narrow" w:hAnsi="Arial Narrow"/>
          <w:sz w:val="20"/>
          <w:szCs w:val="20"/>
        </w:rPr>
      </w:pPr>
      <w:r>
        <w:rPr>
          <w:rFonts w:ascii="Arial Narrow" w:hAnsi="Arial Narrow"/>
          <w:sz w:val="20"/>
          <w:szCs w:val="20"/>
        </w:rPr>
        <w:t>Produkt nach dem Mischen mit Wasser (und Aushärten): 17 01 01 Beton</w:t>
      </w:r>
    </w:p>
    <w:p>
      <w:pPr>
        <w:pStyle w:val="Normal"/>
        <w:spacing w:lineRule="auto" w:line="240" w:before="0" w:after="0"/>
        <w:rPr>
          <w:rFonts w:ascii="Arial Narrow" w:hAnsi="Arial Narrow"/>
          <w:sz w:val="20"/>
          <w:szCs w:val="20"/>
        </w:rPr>
      </w:pPr>
      <w:r>
        <w:rPr>
          <w:rFonts w:ascii="Arial Narrow" w:hAnsi="Arial Narrow"/>
          <w:sz w:val="20"/>
          <w:szCs w:val="20"/>
        </w:rPr>
        <w:t>Verpackung: je nach Verpackungsart Verpackungsgruppe 15 01 xx (hauptsächlich 15 01 01 bis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Gesetzliche Regelungen zum Abfall</w:t>
      </w:r>
    </w:p>
    <w:p>
      <w:pPr>
        <w:pStyle w:val="Normal"/>
        <w:spacing w:lineRule="auto" w:line="240" w:before="0" w:after="0"/>
        <w:rPr>
          <w:rFonts w:ascii="Arial Narrow" w:hAnsi="Arial Narrow"/>
          <w:sz w:val="20"/>
          <w:szCs w:val="20"/>
        </w:rPr>
      </w:pPr>
      <w:r>
        <w:rPr>
          <w:rFonts w:ascii="Arial Narrow" w:hAnsi="Arial Narrow"/>
          <w:sz w:val="20"/>
          <w:szCs w:val="20"/>
        </w:rPr>
        <w:t>Gesetz Nr. 185/2001 Slg. über Abfälle in der jeweils gültigen Fassung und deren Ausführungsbestimmungen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477/2001 Slg., über Verpackungen,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14. PREPRAE-INFORMATIONEN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Die Produkte sind nicht im Sinne des § 22 Abs. 1 BGB. (1) Gesetz Nr. 111/1994 Slg. über die Beförderung gefährlicher Güter auf der Straße in der jeweils gültigen Fassung und unterliegen nicht den Bestimmungen des Europäischen Übereinkommens über die Beförderung gefährlicher Güter auf der Straße (ADR) oder den Bestimmungen der Ordnung für die internationale Eisenbahnbeförderung gefährlicher Güter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UN-Nummer: nicht anwendbar</w:t>
      </w:r>
    </w:p>
    <w:p>
      <w:pPr>
        <w:pStyle w:val="Normal"/>
        <w:spacing w:lineRule="auto" w:line="240" w:before="0" w:after="0"/>
        <w:rPr>
          <w:rFonts w:ascii="Arial Narrow" w:hAnsi="Arial Narrow"/>
          <w:sz w:val="20"/>
          <w:szCs w:val="20"/>
        </w:rPr>
      </w:pPr>
      <w:r>
        <w:rPr>
          <w:rFonts w:ascii="Arial Narrow" w:hAnsi="Arial Narrow"/>
          <w:sz w:val="20"/>
          <w:szCs w:val="20"/>
        </w:rPr>
        <w:t>14.2 Ordnungsgemäße UN-Versandbezeichnung: nicht anwendbar</w:t>
      </w:r>
    </w:p>
    <w:p>
      <w:pPr>
        <w:pStyle w:val="Normal"/>
        <w:spacing w:lineRule="auto" w:line="240" w:before="0" w:after="0"/>
        <w:rPr>
          <w:rFonts w:ascii="Arial Narrow" w:hAnsi="Arial Narrow"/>
          <w:sz w:val="20"/>
          <w:szCs w:val="20"/>
        </w:rPr>
      </w:pPr>
      <w:r>
        <w:rPr>
          <w:rFonts w:ascii="Arial Narrow" w:hAnsi="Arial Narrow"/>
          <w:sz w:val="20"/>
          <w:szCs w:val="20"/>
        </w:rPr>
        <w:t>14.3 Transportgefahrenklasse(n): nicht anwendbar</w:t>
      </w:r>
    </w:p>
    <w:p>
      <w:pPr>
        <w:pStyle w:val="Normal"/>
        <w:spacing w:lineRule="auto" w:line="240" w:before="0" w:after="0"/>
        <w:rPr>
          <w:rFonts w:ascii="Arial Narrow" w:hAnsi="Arial Narrow"/>
          <w:sz w:val="20"/>
          <w:szCs w:val="20"/>
        </w:rPr>
      </w:pPr>
      <w:r>
        <w:rPr>
          <w:rFonts w:ascii="Arial Narrow" w:hAnsi="Arial Narrow"/>
          <w:sz w:val="20"/>
          <w:szCs w:val="20"/>
        </w:rPr>
        <w:t>14.4 Verpackungsgruppe: nicht anwendbar</w:t>
      </w:r>
    </w:p>
    <w:p>
      <w:pPr>
        <w:pStyle w:val="Normal"/>
        <w:spacing w:lineRule="auto" w:line="240" w:before="0" w:after="0"/>
        <w:rPr>
          <w:rFonts w:ascii="Arial Narrow" w:hAnsi="Arial Narrow"/>
          <w:sz w:val="20"/>
          <w:szCs w:val="20"/>
        </w:rPr>
      </w:pPr>
      <w:r>
        <w:rPr>
          <w:rFonts w:ascii="Arial Narrow" w:hAnsi="Arial Narrow"/>
          <w:sz w:val="20"/>
          <w:szCs w:val="20"/>
        </w:rPr>
        <w:t>14.5 Umweltgefährdung: nicht anwendbar</w:t>
      </w:r>
    </w:p>
    <w:p>
      <w:pPr>
        <w:pStyle w:val="Normal"/>
        <w:spacing w:lineRule="auto" w:line="240" w:before="0" w:after="0"/>
        <w:rPr>
          <w:rFonts w:ascii="Arial Narrow" w:hAnsi="Arial Narrow"/>
          <w:sz w:val="20"/>
          <w:szCs w:val="20"/>
        </w:rPr>
      </w:pPr>
      <w:r>
        <w:rPr>
          <w:rFonts w:ascii="Arial Narrow" w:hAnsi="Arial Narrow"/>
          <w:sz w:val="20"/>
          <w:szCs w:val="20"/>
        </w:rPr>
        <w:t>14.6 Besondere Sicherheitsmaßnahmen für den Anwender: nicht anwendbar</w:t>
      </w:r>
    </w:p>
    <w:p>
      <w:pPr>
        <w:pStyle w:val="Normal"/>
        <w:spacing w:lineRule="auto" w:line="240" w:before="0" w:after="0"/>
        <w:rPr>
          <w:rFonts w:ascii="Arial Narrow" w:hAnsi="Arial Narrow"/>
          <w:sz w:val="20"/>
          <w:szCs w:val="20"/>
        </w:rPr>
      </w:pPr>
      <w:r>
        <w:rPr>
          <w:rFonts w:ascii="Arial Narrow" w:hAnsi="Arial Narrow"/>
          <w:sz w:val="20"/>
          <w:szCs w:val="20"/>
        </w:rPr>
        <w:t>14.7 Beförderung von Massengütern gemäß Anhang II des MARPOL-Übereinkommens und dem IBC-Code: nicht anwendbar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15. RECHTSVORSCHRIFTEN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Sicherheits-, Gesundheits- und Umweltschutzvorschriften/spezifische Rechtsvorschriften für den Stoff oder das Gemisch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Verordnung des EP und des Rates (EG) Nr. 1907/2006, über die Registrierung, Bewertung, Zulassung und Beschränkung chemischer Stoffe (REACH), in der geänderten Fassung; Verordnung des Europäischen Parlaments und des Rates (EG) Nr. 1272/2008 über die Einstufung, Kennzeichnung und Verpackung von Stoffen und Gemischen (CLP),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t>Richtlinie 67/548/EWG zur Angleichung der Rechtsvorschriften zur Einstufung, Verpackung und Kennzeichnung gefährlicher Stoffe (DSD);</w:t>
      </w:r>
    </w:p>
    <w:p>
      <w:pPr>
        <w:pStyle w:val="Normal"/>
        <w:spacing w:lineRule="auto" w:line="240" w:before="0" w:after="0"/>
        <w:rPr>
          <w:rFonts w:ascii="Arial Narrow" w:hAnsi="Arial Narrow"/>
          <w:sz w:val="20"/>
          <w:szCs w:val="20"/>
        </w:rPr>
      </w:pPr>
      <w:r>
        <w:rPr>
          <w:rFonts w:ascii="Arial Narrow" w:hAnsi="Arial Narrow"/>
          <w:sz w:val="20"/>
          <w:szCs w:val="20"/>
        </w:rPr>
        <w:t>Richtlinie 1999/45/EG zur Angleichung der Rechts- und Verwaltungsmaßnahmen der Mitgliedstaaten zur Einstufung, Verpackung und Kennzeichnung gefährlicher Zubereitungen in der jeweils gültigen Fassung (DPD);</w:t>
      </w:r>
    </w:p>
    <w:p>
      <w:pPr>
        <w:pStyle w:val="Normal"/>
        <w:spacing w:lineRule="auto" w:line="240" w:before="0" w:after="0"/>
        <w:rPr>
          <w:rFonts w:ascii="Arial Narrow" w:hAnsi="Arial Narrow"/>
          <w:sz w:val="20"/>
          <w:szCs w:val="20"/>
        </w:rPr>
      </w:pPr>
      <w:r>
        <w:rPr>
          <w:rFonts w:ascii="Arial Narrow" w:hAnsi="Arial Narrow"/>
          <w:sz w:val="20"/>
          <w:szCs w:val="20"/>
        </w:rPr>
        <w:t>Europäisches Übereinkommen über die internationale Beförderung gefährlicher Güter auf der Straße (ADR)</w:t>
      </w:r>
    </w:p>
    <w:p>
      <w:pPr>
        <w:pStyle w:val="Normal"/>
        <w:spacing w:lineRule="auto" w:line="240" w:before="0" w:after="0"/>
        <w:rPr>
          <w:rFonts w:ascii="Arial Narrow" w:hAnsi="Arial Narrow"/>
          <w:sz w:val="20"/>
          <w:szCs w:val="20"/>
        </w:rPr>
      </w:pPr>
      <w:r>
        <w:rPr>
          <w:rFonts w:ascii="Arial Narrow" w:hAnsi="Arial Narrow"/>
          <w:sz w:val="20"/>
          <w:szCs w:val="20"/>
        </w:rPr>
        <w:t>Gesetz Nr. 258/2000 Slg. Zum Schutz der öffentlichen Gesundheit in der geänderten Fassung;</w:t>
      </w:r>
    </w:p>
    <w:p>
      <w:pPr>
        <w:pStyle w:val="Normal"/>
        <w:spacing w:lineRule="auto" w:line="240" w:before="0" w:after="0"/>
        <w:rPr>
          <w:rFonts w:ascii="Arial Narrow" w:hAnsi="Arial Narrow"/>
          <w:sz w:val="20"/>
          <w:szCs w:val="20"/>
        </w:rPr>
      </w:pPr>
      <w:r>
        <w:rPr>
          <w:rFonts w:ascii="Arial Narrow" w:hAnsi="Arial Narrow"/>
          <w:sz w:val="20"/>
          <w:szCs w:val="20"/>
        </w:rPr>
        <w:t>Gesetz 262/2006 Slg., Arbeitsgesetzbuch,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t>Regierungsverordnung Nr. 361/2007 Slg., Festlegung der Bedingungen für den Gesundheitsschutz der Arbeitnehmer am Arbeitsplatz, in der jeweils geltenden Fassung; 201/2012 Slg. zum Luftschutz und seinen Durchführungsbestimmungen;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185 / 2001Coll. über Abfälle in der jeweils gültigen Fassung und deren Ausführungsbestimmungen;</w:t>
      </w:r>
    </w:p>
    <w:p>
      <w:pPr>
        <w:pStyle w:val="Normal"/>
        <w:spacing w:lineRule="auto" w:line="240" w:before="0" w:after="0"/>
        <w:rPr>
          <w:rFonts w:ascii="Arial Narrow" w:hAnsi="Arial Narrow"/>
          <w:sz w:val="20"/>
          <w:szCs w:val="20"/>
        </w:rPr>
      </w:pPr>
      <w:r>
        <w:rPr>
          <w:rFonts w:ascii="Arial Narrow" w:hAnsi="Arial Narrow"/>
          <w:sz w:val="20"/>
          <w:szCs w:val="20"/>
        </w:rPr>
        <w:t>Gesetz Nr. 477/2001 Slg. auf der Verpackung in der jeweils gültigen Fassung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Stoffsicherheitsbeurteilung:</w:t>
      </w:r>
      <w:bookmarkStart w:id="0" w:name="_GoBack"/>
      <w:bookmarkEnd w:id="0"/>
    </w:p>
    <w:p>
      <w:pPr>
        <w:pStyle w:val="Normal"/>
        <w:spacing w:lineRule="auto" w:line="240" w:before="0" w:after="0"/>
        <w:rPr/>
      </w:pPr>
      <w:r>
        <w:rPr>
          <w:rFonts w:ascii="Arial Narrow" w:hAnsi="Arial Narrow"/>
          <w:sz w:val="20"/>
          <w:szCs w:val="20"/>
        </w:rPr>
        <w:t>Zum Zweck der Registrierung von Staub aus der Produktion von Portlandklinker wurde eine chemische Sicherheitsbewertung für eine Reihe von Anwendungsszenarien durchgeführt, darunter auch Anwendungsszenarien in Trockenmörtelmischungen. Alle wesentlichen Schlussfolgerungen aus der Bewertung dieses Stoffes, die auch auf Zementklinker anwendbar sind, sind in diesem Sicherheitsdatenblatt enthalten. Bei Mörtelmischungen handelt es sich um ein Endprodukt, daher sind dem Sicherheitsdatenblatt keine weiteren Expositionsszenarien beigefügt.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ABSCHNITT 16. WEITERE INFORMATIONEN</w:t>
      </w:r>
    </w:p>
    <w:p>
      <w:pPr>
        <w:pStyle w:val="Normal"/>
        <w:spacing w:lineRule="auto" w:line="240" w:before="0" w:after="0"/>
        <w:rPr>
          <w:rFonts w:ascii="Arial Narrow" w:hAnsi="Arial Narrow"/>
          <w:b/>
          <w:b/>
          <w:sz w:val="20"/>
          <w:szCs w:val="20"/>
        </w:rPr>
      </w:pPr>
      <w:r>
        <w:rPr>
          <w:rFonts w:ascii="Arial Narrow" w:hAnsi="Arial Narrow"/>
          <w:b/>
          <w:sz w:val="20"/>
          <w:szCs w:val="20"/>
        </w:rPr>
        <w:t>R-Satz:</w:t>
      </w:r>
    </w:p>
    <w:p>
      <w:pPr>
        <w:pStyle w:val="Normal"/>
        <w:spacing w:lineRule="auto" w:line="240" w:before="0" w:after="0"/>
        <w:rPr>
          <w:rFonts w:ascii="Arial Narrow" w:hAnsi="Arial Narrow"/>
          <w:sz w:val="20"/>
          <w:szCs w:val="20"/>
        </w:rPr>
      </w:pPr>
      <w:r>
        <w:rPr>
          <w:rFonts w:ascii="Arial Narrow" w:hAnsi="Arial Narrow"/>
          <w:sz w:val="20"/>
          <w:szCs w:val="20"/>
        </w:rPr>
        <w:t>R 20/22 Gesundheitsschädlich beim Einatmen und Verschlucken</w:t>
      </w:r>
    </w:p>
    <w:p>
      <w:pPr>
        <w:pStyle w:val="Normal"/>
        <w:spacing w:lineRule="auto" w:line="240" w:before="0" w:after="0"/>
        <w:rPr>
          <w:rFonts w:ascii="Arial Narrow" w:hAnsi="Arial Narrow"/>
          <w:sz w:val="20"/>
          <w:szCs w:val="20"/>
        </w:rPr>
      </w:pPr>
      <w:r>
        <w:rPr>
          <w:rFonts w:ascii="Arial Narrow" w:hAnsi="Arial Narrow"/>
          <w:sz w:val="20"/>
          <w:szCs w:val="20"/>
        </w:rPr>
        <w:t>R 36 Reizt die Augen</w:t>
      </w:r>
    </w:p>
    <w:p>
      <w:pPr>
        <w:pStyle w:val="Normal"/>
        <w:spacing w:lineRule="auto" w:line="240" w:before="0" w:after="0"/>
        <w:rPr>
          <w:rFonts w:ascii="Arial Narrow" w:hAnsi="Arial Narrow"/>
          <w:sz w:val="20"/>
          <w:szCs w:val="20"/>
        </w:rPr>
      </w:pPr>
      <w:r>
        <w:rPr>
          <w:rFonts w:ascii="Arial Narrow" w:hAnsi="Arial Narrow"/>
          <w:sz w:val="20"/>
          <w:szCs w:val="20"/>
        </w:rPr>
        <w:t>R 37 Reizt die Atemwege</w:t>
      </w:r>
    </w:p>
    <w:p>
      <w:pPr>
        <w:pStyle w:val="Normal"/>
        <w:spacing w:lineRule="auto" w:line="240" w:before="0" w:after="0"/>
        <w:rPr>
          <w:rFonts w:ascii="Arial Narrow" w:hAnsi="Arial Narrow"/>
          <w:sz w:val="20"/>
          <w:szCs w:val="20"/>
        </w:rPr>
      </w:pPr>
      <w:r>
        <w:rPr>
          <w:rFonts w:ascii="Arial Narrow" w:hAnsi="Arial Narrow"/>
          <w:sz w:val="20"/>
          <w:szCs w:val="20"/>
        </w:rPr>
        <w:t>R 38 Reizt die Haut</w:t>
      </w:r>
    </w:p>
    <w:p>
      <w:pPr>
        <w:pStyle w:val="Normal"/>
        <w:spacing w:lineRule="auto" w:line="240" w:before="0" w:after="0"/>
        <w:rPr>
          <w:rFonts w:ascii="Arial Narrow" w:hAnsi="Arial Narrow"/>
          <w:sz w:val="20"/>
          <w:szCs w:val="20"/>
        </w:rPr>
      </w:pPr>
      <w:r>
        <w:rPr>
          <w:rFonts w:ascii="Arial Narrow" w:hAnsi="Arial Narrow"/>
          <w:sz w:val="20"/>
          <w:szCs w:val="20"/>
        </w:rPr>
        <w:t>R 41 Gefahr ernster Augenschäden</w:t>
      </w:r>
    </w:p>
    <w:p>
      <w:pPr>
        <w:pStyle w:val="Normal"/>
        <w:spacing w:lineRule="auto" w:line="240" w:before="0" w:after="0"/>
        <w:rPr>
          <w:rFonts w:ascii="Arial Narrow" w:hAnsi="Arial Narrow"/>
          <w:sz w:val="20"/>
          <w:szCs w:val="20"/>
        </w:rPr>
      </w:pPr>
      <w:r>
        <w:rPr>
          <w:rFonts w:ascii="Arial Narrow" w:hAnsi="Arial Narrow"/>
          <w:sz w:val="20"/>
          <w:szCs w:val="20"/>
        </w:rPr>
        <w:t>R 43 Sensibilisierung durch Hautkontakt möglich</w:t>
      </w:r>
    </w:p>
    <w:p>
      <w:pPr>
        <w:pStyle w:val="Normal"/>
        <w:spacing w:lineRule="auto" w:line="240" w:before="0" w:after="0"/>
        <w:rPr>
          <w:rFonts w:ascii="Arial Narrow" w:hAnsi="Arial Narrow"/>
          <w:b/>
          <w:b/>
          <w:sz w:val="20"/>
          <w:szCs w:val="20"/>
        </w:rPr>
      </w:pPr>
      <w:r>
        <w:rPr>
          <w:rFonts w:ascii="Arial Narrow" w:hAnsi="Arial Narrow"/>
          <w:b/>
          <w:sz w:val="20"/>
          <w:szCs w:val="20"/>
        </w:rPr>
        <w:t>H-Satz:</w:t>
      </w:r>
    </w:p>
    <w:p>
      <w:pPr>
        <w:pStyle w:val="Normal"/>
        <w:spacing w:lineRule="auto" w:line="240" w:before="0" w:after="0"/>
        <w:rPr>
          <w:rFonts w:ascii="Arial Narrow" w:hAnsi="Arial Narrow"/>
          <w:sz w:val="20"/>
          <w:szCs w:val="20"/>
        </w:rPr>
      </w:pPr>
      <w:r>
        <w:rPr>
          <w:rFonts w:ascii="Arial Narrow" w:hAnsi="Arial Narrow"/>
          <w:sz w:val="20"/>
          <w:szCs w:val="20"/>
        </w:rPr>
        <w:t>H315 Reizt die Haut.</w:t>
      </w:r>
    </w:p>
    <w:p>
      <w:pPr>
        <w:pStyle w:val="Normal"/>
        <w:spacing w:lineRule="auto" w:line="240" w:before="0" w:after="0"/>
        <w:rPr>
          <w:rFonts w:ascii="Arial Narrow" w:hAnsi="Arial Narrow"/>
          <w:sz w:val="20"/>
          <w:szCs w:val="20"/>
        </w:rPr>
      </w:pPr>
      <w:r>
        <w:rPr>
          <w:rFonts w:ascii="Arial Narrow" w:hAnsi="Arial Narrow"/>
          <w:sz w:val="20"/>
          <w:szCs w:val="20"/>
        </w:rPr>
        <w:t>H317 Kann allergische Hautreaktionen verursachen.</w:t>
      </w:r>
    </w:p>
    <w:p>
      <w:pPr>
        <w:pStyle w:val="Normal"/>
        <w:spacing w:lineRule="auto" w:line="240" w:before="0" w:after="0"/>
        <w:rPr>
          <w:rFonts w:ascii="Arial Narrow" w:hAnsi="Arial Narrow"/>
          <w:sz w:val="20"/>
          <w:szCs w:val="20"/>
        </w:rPr>
      </w:pPr>
      <w:r>
        <w:rPr>
          <w:rFonts w:ascii="Arial Narrow" w:hAnsi="Arial Narrow"/>
          <w:sz w:val="20"/>
          <w:szCs w:val="20"/>
        </w:rPr>
        <w:t>H318 Verursacht schwere Augenschäden.</w:t>
      </w:r>
    </w:p>
    <w:p>
      <w:pPr>
        <w:pStyle w:val="Normal"/>
        <w:spacing w:lineRule="auto" w:line="240" w:before="0" w:after="0"/>
        <w:rPr>
          <w:rFonts w:ascii="Arial Narrow" w:hAnsi="Arial Narrow"/>
          <w:sz w:val="20"/>
          <w:szCs w:val="20"/>
        </w:rPr>
      </w:pPr>
      <w:r>
        <w:rPr>
          <w:rFonts w:ascii="Arial Narrow" w:hAnsi="Arial Narrow"/>
          <w:sz w:val="20"/>
          <w:szCs w:val="20"/>
        </w:rPr>
        <w:t>H335 Kann die Atemwege reizen.</w:t>
      </w:r>
    </w:p>
    <w:p>
      <w:pPr>
        <w:pStyle w:val="Normal"/>
        <w:spacing w:lineRule="auto" w:line="240" w:before="0" w:after="0"/>
        <w:rPr>
          <w:rFonts w:ascii="Arial Narrow" w:hAnsi="Arial Narrow"/>
          <w:b/>
          <w:b/>
          <w:sz w:val="20"/>
          <w:szCs w:val="20"/>
        </w:rPr>
      </w:pPr>
      <w:r>
        <w:rPr>
          <w:rFonts w:ascii="Arial Narrow" w:hAnsi="Arial Narrow"/>
          <w:b/>
          <w:sz w:val="20"/>
          <w:szCs w:val="20"/>
        </w:rPr>
        <w:t>P-Satz:</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Wenn ärztliche Hilfe erforderlich ist, halten Sie den Behälter oder das Etikett des Herstellers bereit.</w:t>
      </w:r>
    </w:p>
    <w:p>
      <w:pPr>
        <w:pStyle w:val="Normal"/>
        <w:spacing w:lineRule="auto" w:line="240" w:before="0" w:after="0"/>
        <w:rPr>
          <w:rFonts w:ascii="Arial Narrow" w:hAnsi="Arial Narrow"/>
          <w:sz w:val="20"/>
          <w:szCs w:val="20"/>
        </w:rPr>
      </w:pPr>
      <w:r>
        <w:rPr>
          <w:rFonts w:ascii="Arial Narrow" w:hAnsi="Arial Narrow"/>
          <w:sz w:val="20"/>
          <w:szCs w:val="20"/>
        </w:rPr>
        <w:t>P102 Darf nicht in die Hände von Kindern gelangen.</w:t>
      </w:r>
    </w:p>
    <w:p>
      <w:pPr>
        <w:pStyle w:val="Normal"/>
        <w:spacing w:lineRule="auto" w:line="240" w:before="0" w:after="0"/>
        <w:rPr>
          <w:rFonts w:ascii="Arial Narrow" w:hAnsi="Arial Narrow"/>
          <w:sz w:val="20"/>
          <w:szCs w:val="20"/>
        </w:rPr>
      </w:pPr>
      <w:r>
        <w:rPr>
          <w:rFonts w:ascii="Arial Narrow" w:hAnsi="Arial Narrow"/>
          <w:sz w:val="20"/>
          <w:szCs w:val="20"/>
        </w:rPr>
        <w:t>P261 Einatmen von Staub vermeiden.</w:t>
      </w:r>
    </w:p>
    <w:p>
      <w:pPr>
        <w:pStyle w:val="Normal"/>
        <w:spacing w:lineRule="auto" w:line="240" w:before="0" w:after="0"/>
        <w:rPr>
          <w:rFonts w:ascii="Arial Narrow" w:hAnsi="Arial Narrow"/>
          <w:sz w:val="20"/>
          <w:szCs w:val="20"/>
        </w:rPr>
      </w:pPr>
      <w:r>
        <w:rPr>
          <w:rFonts w:ascii="Arial Narrow" w:hAnsi="Arial Narrow"/>
          <w:sz w:val="20"/>
          <w:szCs w:val="20"/>
        </w:rPr>
        <w:t>P280 Schutzhandschuhe / Schutzkleidung / Schutzbrille / Gesichtsschutz tragen.</w:t>
      </w:r>
    </w:p>
    <w:p>
      <w:pPr>
        <w:pStyle w:val="Normal"/>
        <w:spacing w:lineRule="auto" w:line="240" w:before="0" w:after="0"/>
        <w:rPr>
          <w:rFonts w:ascii="Arial Narrow" w:hAnsi="Arial Narrow"/>
          <w:sz w:val="20"/>
          <w:szCs w:val="20"/>
        </w:rPr>
      </w:pPr>
      <w:r>
        <w:rPr>
          <w:rFonts w:ascii="Arial Narrow" w:hAnsi="Arial Narrow"/>
          <w:sz w:val="20"/>
          <w:szCs w:val="20"/>
        </w:rPr>
        <w:t>P305 + P351 + P338: BEI KONTAKT MIT DEN AUGEN: Einige Minuten lang vorsichtig mit Wasser spülen. Nehmen Sie, falls getragen, Kontaktlinsen ab und entfernen Sie diese wenn möglich. Spülen Sie weiter.</w:t>
      </w:r>
    </w:p>
    <w:p>
      <w:pPr>
        <w:pStyle w:val="Normal"/>
        <w:spacing w:lineRule="auto" w:line="240" w:before="0" w:after="0"/>
        <w:rPr>
          <w:rFonts w:ascii="Arial Narrow" w:hAnsi="Arial Narrow"/>
          <w:sz w:val="20"/>
          <w:szCs w:val="20"/>
        </w:rPr>
      </w:pPr>
      <w:r>
        <w:rPr>
          <w:rFonts w:ascii="Arial Narrow" w:hAnsi="Arial Narrow"/>
          <w:sz w:val="20"/>
          <w:szCs w:val="20"/>
        </w:rPr>
        <w:t>P310: Sofort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P302 + P352: BEI BERÜHRUNG MIT DER HAUT: Mit viel Wasser und Seife waschen. Bei Hautreizungen oder Hautausschlag</w:t>
      </w:r>
    </w:p>
    <w:p>
      <w:pPr>
        <w:pStyle w:val="Normal"/>
        <w:spacing w:lineRule="auto" w:line="240" w:before="0" w:after="0"/>
        <w:rPr>
          <w:rFonts w:ascii="Arial Narrow" w:hAnsi="Arial Narrow"/>
          <w:sz w:val="20"/>
          <w:szCs w:val="20"/>
        </w:rPr>
      </w:pPr>
      <w:r>
        <w:rPr>
          <w:rFonts w:ascii="Arial Narrow" w:hAnsi="Arial Narrow"/>
          <w:sz w:val="20"/>
          <w:szCs w:val="20"/>
        </w:rPr>
        <w:t>P333 + P313: Ärztlichen Rat einholen.</w:t>
      </w:r>
    </w:p>
    <w:p>
      <w:pPr>
        <w:pStyle w:val="Normal"/>
        <w:spacing w:lineRule="auto" w:line="240" w:before="0" w:after="0"/>
        <w:rPr>
          <w:rFonts w:ascii="Arial Narrow" w:hAnsi="Arial Narrow"/>
          <w:sz w:val="20"/>
          <w:szCs w:val="20"/>
        </w:rPr>
      </w:pPr>
      <w:r>
        <w:rPr>
          <w:rFonts w:ascii="Arial Narrow" w:hAnsi="Arial Narrow"/>
          <w:sz w:val="20"/>
          <w:szCs w:val="20"/>
        </w:rPr>
        <w:t>P304 + P340: BEI EINATMEN: Die Person an die frische Luft bringen und in einer Position halten, die das Atmen erleichtert.</w:t>
      </w:r>
    </w:p>
    <w:p>
      <w:pPr>
        <w:pStyle w:val="Normal"/>
        <w:spacing w:lineRule="auto" w:line="240" w:before="0" w:after="0"/>
        <w:rPr>
          <w:rFonts w:ascii="Arial Narrow" w:hAnsi="Arial Narrow"/>
          <w:sz w:val="20"/>
          <w:szCs w:val="20"/>
        </w:rPr>
      </w:pPr>
      <w:r>
        <w:rPr>
          <w:rFonts w:ascii="Arial Narrow" w:hAnsi="Arial Narrow"/>
          <w:sz w:val="20"/>
          <w:szCs w:val="20"/>
        </w:rPr>
        <w:t>P312 Bei Unwohlsein GIFTINFORMATIONSZENTRUM oder Arzt anrufen.</w:t>
      </w:r>
    </w:p>
    <w:p>
      <w:pPr>
        <w:pStyle w:val="Normal"/>
        <w:spacing w:lineRule="auto" w:line="240" w:before="0" w:after="0"/>
        <w:rPr>
          <w:rFonts w:ascii="Arial Narrow" w:hAnsi="Arial Narrow"/>
          <w:sz w:val="20"/>
          <w:szCs w:val="20"/>
        </w:rPr>
      </w:pPr>
      <w:r>
        <w:rPr>
          <w:rFonts w:ascii="Arial Narrow" w:hAnsi="Arial Narrow"/>
          <w:sz w:val="20"/>
          <w:szCs w:val="20"/>
        </w:rPr>
        <w:t>P501 Inhalt/Verpackung an einer entsprechend den örtlichen Vorschriften ausgewiesenen Sammelstelle entsorgen.</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Seite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von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Sicherheitsdatenblatt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gemäß Anhang II REACH EG-Verordnung Nr. 1907/2006 und Verordnung (EG)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Erstellt: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de-DE"/>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de-DE"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de-DE"/>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de-DE"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de-DE"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3881</Words>
  <Characters>26136</Characters>
  <CharactersWithSpaces>29797</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2025-01-22T10:58:46Z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