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ThermoActive je hotový strešný náter založený na termokeramickej membránovej technológii.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Prísady                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Polyakrylátová disperzia, oxid zinočnatý, oxid titaničitý, kaolín, uhličitan vápenatý, silikáty, voda, propylénglykol, celulóza, konzervačné látky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Skupina výrobkov / GIS kód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BSW20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Platia informácie uvedené v aktuálnom bezpečnostnom liste.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ThermoActive je odolný ochranný náter pre takmer všetky podklady v oblasti strechy. Sklon strechy nesmie byť menší ako 3%. Vďaka špeciálnemu zloženiu ThermoActive existuje v oblasti letnej a zimnej tepelnej izolácie množstvo energetických aplikačných oblastí.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     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Vysoká odolnosť proti agresívnym vplyvom prostredia, ako sú smog a ozón, nízke emisie, bez rozpúšťadiel, vysoká odolnosť proti UV žiareniu a poveternostným vplyvom, reflexná, vysoká farebná stálosť, vodotesnosť, rozťahovateľnosť, je tepelne upokojivý.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materiálové charakteristiky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hodnoty sd podľa DIN 52615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Suchá plocha: sd = 0,58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rozsah vlhkosti: sd = 0,42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Hustota: 1,04 kg / dm³ podľa ISO 2811-1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Správanie sa pri požiari: C-s1, d0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Odraz slnečného žiarenia: 84% podľa DIN 67507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Chemická odolnosť: na požiadanie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Lesk: matná  podľa DIN ISO 2813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shd w:fill="808080" w:val="clear"/>
          <w:lang w:val="sk-SK"/>
        </w:rPr>
        <w:t xml:space="preserve">Nariadenie VOC (EG)                         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Limit od 1. januára 2010 pre náterové hmoty na báze vody (Wb) (kategória výrobkov d) na drevo, kov alebo plasty pre budovy, ich komponenty a ozdobné komponenty = 130 g / l.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Tento produkt obsahuje &lt;7 g / l VOC.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Druh spracovania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ThermoActive je možné aplikovať na všetky stabilné, čisté, suché, nehrdzavejúce a odmastené  podklady, ako sú staré a nové omietky, kovy, plasty, syntetické vlákna a neporušené staré nátery. Aby sa zaručili energetické vlastnosti, musí sa zabezpečiť povrch, ktorý je otvorený pre difúziu.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Príprava povrchu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plast: skontrolovať priľnavosť povrchu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kovy: V závislosti od kovu a nárokov, základný náter pomocou RustPrimer alebo ZinkPrimer</w:t>
      </w:r>
    </w:p>
    <w:p>
      <w:pPr>
        <w:pStyle w:val="Telotextu"/>
        <w:spacing w:before="0" w:after="80"/>
        <w:ind w:left="0" w:right="57" w:hanging="0"/>
        <w:rPr/>
      </w:pPr>
      <w:r>
        <w:rPr>
          <w:color w:val="5E5E5E"/>
          <w:lang w:val="sk-SK"/>
        </w:rPr>
        <w:t>Neudržateľný starý náter: V závislosti od materiálu, ktorý sa má nanášať, umyte, morte alebo odstráňte pomocou vysokotlakových alebo parných čističov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Podklady s narušenou priľnavosťou: umyť, vylúhovať, ošmirgľovať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Nasiakavé podklady: penetrujte pomocou FixPlus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  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Nanášať  sa môže  štetcom, valčekom alebo striekaním. Na prvý náter sú potrebné dve vrstvy. ThermoActive je pripravený na použitie. Ak sa používajú striekacie zariadenia, musia sa dodržiavať pokyny výrobcu zariadenia. V prípade veľmi drsných podkladov alebo pri použití striekacích zariadení je možné upravovať konzistenciu spracovania malým množstvom vody. Pri spracovaní zabezpečte, aby teplota vzduchu a predmetov nebola nižšia ako 5°C. To platí aj pre celé obdobie sušenia. Pretože použité spojivo je UV-sieťovacie spojivo, musí sa zabezpečiť dostatočné UV žiarenie za denného svetla. Pred použitím a po dlhých prestávkach v práci sa musí materiál krátko premiešať miešadlom.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Čas sušenia medzi jednotlivými krokmi náteru je 12 hodín.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Spotreba ThermoActive je približne 600 ml / m² na hladkých, málo nasiakavých povrchoch. Ak sa použije vsadenie tkaniva, spotreba sa zvýši na približne 1 000 ml / m². Uvedená spotreba je určená pre dve vrstvy farby. Množstvo spotreby závisí od štruktúry a nasiakavosti povrchu a v prípade potreby sa môže určiť pomocou skúšobného náteru. Na optimalizáciu energetickej účinnosti letnej tepelnej izolácie je potrebná vyššia hrúbka vrstvy v závislosti od podnebia a podpovrchovej vrstvy.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dôkladne vyčistite valčeky, štetce a striekacie pištole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Farby                </w:t>
      </w:r>
    </w:p>
    <w:p>
      <w:pPr>
        <w:pStyle w:val="Telotextu"/>
        <w:spacing w:before="0" w:after="80"/>
        <w:ind w:left="0" w:right="57" w:hanging="0"/>
        <w:jc w:val="both"/>
        <w:rPr>
          <w:bCs/>
          <w:color w:val="5E5E5E"/>
          <w:lang w:val="sk-SK"/>
        </w:rPr>
      </w:pPr>
      <w:r>
        <w:rPr>
          <w:bCs/>
          <w:color w:val="5E5E5E"/>
          <w:lang w:val="sk-SK"/>
        </w:rPr>
        <w:t>ThermoActive je možné tónovať v farebných systémoch NCS, RAL a ClimateCoatings Edition 1.</w:t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color w:val="5E5E5E"/>
          <w:lang w:val="sk-SK"/>
        </w:rPr>
      </w:pPr>
      <w:r>
        <w:rPr>
          <w:b/>
          <w:color w:val="5E5E5E"/>
          <w:lang w:val="sk-SK"/>
        </w:rPr>
        <w:t>Pred spracovaním sa musí skontrolovať farebnosť.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Skladujte a prepravujte ThermoActive v chlade, ale bez mrazu. Otvorené nádoby dobre uzavrite a čo najskôr ich spracujte. Skladovateľnosť od dátumu výroby: 12 mesiacov.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12,5 litrov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Ďalšie veľkosti kontajnerov na požiadanie.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Zabráňte preniknutiu zvyškov produktu do kanalizácie, vodných tokov alebo pôdy.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Prázdne nádoby dávajte iba na recykláciu. Zvyšky produktu odovzdajte na zodpovedných zberných miestach.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Kód odpadu 080120 podľa zoznamu odpadu EÚ.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Spracovateľ / kupujúci musí pred použitím v praktických podmienkach vždy skontrolovať použiteľnosť materiálu.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Informácie poskytla spoločnosť SICC Coatings GmbH bol stanovený v laboratóriu a praxi ako smerné hodnoty. Informácie o produkte sú poskytované podľa našich najlepších vedomostí a zodpovedajú súčasnému technickému stavu . Vplyvy prostredia, materiály, aplikačné vybavenie a aplikačné techniky sú mimo náš vplyv, a preto mimo našu zodpovednosť. SICC © 2019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http://www.zdrave-byvanie.com/ </w:t>
      </w:r>
    </w:p>
    <w:p>
      <w:pPr>
        <w:pStyle w:val="Telotextu"/>
        <w:spacing w:before="0" w:after="80"/>
        <w:ind w:left="0" w:right="57" w:hanging="0"/>
        <w:rPr/>
      </w:pPr>
      <w:r>
        <w:rPr/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5" w:space="284"/>
        <w:col w:w="3003" w:space="284"/>
        <w:col w:w="3147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ThermoActive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ThermoActive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236d9d"/>
    <w:rPr/>
  </w:style>
  <w:style w:type="character" w:styleId="PtaChar" w:customStyle="1">
    <w:name w:val="Päta Char"/>
    <w:basedOn w:val="DefaultParagraphFont"/>
    <w:uiPriority w:val="99"/>
    <w:qFormat/>
    <w:rsid w:val="00236d9d"/>
    <w:rPr/>
  </w:style>
  <w:style w:type="character" w:styleId="ZkladntextChar" w:customStyle="1">
    <w:name w:val="Základný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SprechblasentextZchn">
    <w:name w:val="Sprechblasentext Zchn"/>
    <w:basedOn w:val="DefaultParagraphFont"/>
    <w:qFormat/>
    <w:rPr>
      <w:rFonts w:ascii="Segoe UI" w:hAnsi="Segoe UI" w:cs="Segoe UI"/>
      <w:sz w:val="18"/>
      <w:szCs w:val="18"/>
    </w:rPr>
  </w:style>
  <w:style w:type="character" w:styleId="TextkrperZchn">
    <w:name w:val="Textkörper Zchn"/>
    <w:basedOn w:val="DefaultParagraphFont"/>
    <w:qFormat/>
    <w:rPr>
      <w:rFonts w:ascii="Arial Narrow" w:hAnsi="Arial Narrow" w:eastAsia="Arial Narrow"/>
      <w:sz w:val="16"/>
      <w:szCs w:val="16"/>
      <w:lang w:val="en-US"/>
    </w:rPr>
  </w:style>
  <w:style w:type="character" w:styleId="FuzeileZchn">
    <w:name w:val="Fußzeile Zchn"/>
    <w:basedOn w:val="DefaultParagraphFont"/>
    <w:qFormat/>
    <w:rPr/>
  </w:style>
  <w:style w:type="character" w:styleId="KopfzeileZchn">
    <w:name w:val="Kopfzeile Zchn"/>
    <w:basedOn w:val="DefaultParagraphFon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5096-52A5-40A9-B515-4BFC439B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LibreOffice/7.3.7.2$Linux_X86_64 LibreOffice_project/30$Build-2</Application>
  <AppVersion>15.0000</AppVersion>
  <DocSecurity>0</DocSecurity>
  <Pages>2</Pages>
  <Words>776</Words>
  <Characters>4774</Characters>
  <CharactersWithSpaces>5708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2020-08-04T11:44:00Z</dcterms:created>
  <dc:creator>Sprenger</dc:creator>
  <dc:description/>
  <dc:language>sk-SK</dc:language>
  <cp:lastModifiedBy/>
  <cp:lastPrinted>2019-10-31T10:14:00Z</cp:lastPrinted>
  <dcterms:modified xsi:type="dcterms:W3CDTF">2023-04-07T06:41:25Z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