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808080"/>
        <w:rPr>
          <w:rFonts w:ascii="Arial Narrow" w:hAnsi="Arial Narrow"/>
          <w:b/>
          <w:b/>
          <w:color w:val="FFFFFF" w:themeColor="background1"/>
          <w:sz w:val="18"/>
          <w:szCs w:val="18"/>
          <w:lang w:val="sk-SK"/>
        </w:rPr>
      </w:pPr>
      <w:r>
        <w:rPr>
          <w:rFonts w:ascii="Arial Narrow" w:hAnsi="Arial Narrow"/>
          <w:b/>
          <w:color w:val="FFFFFF" w:themeColor="background1"/>
          <w:sz w:val="18"/>
          <w:szCs w:val="18"/>
          <w:lang w:val="sk-SK"/>
        </w:rPr>
        <w:t>Produkt- Popis</w:t>
      </w:r>
    </w:p>
    <w:p>
      <w:pPr>
        <w:pStyle w:val="Telotextu"/>
        <w:spacing w:before="0" w:after="80"/>
        <w:ind w:left="0" w:right="57" w:hanging="0"/>
        <w:jc w:val="both"/>
        <w:rPr>
          <w:color w:val="5E5E5E"/>
          <w:lang w:val="sk-SK"/>
        </w:rPr>
      </w:pPr>
      <w:r>
        <w:rPr>
          <w:color w:val="5E5E5E"/>
          <w:lang w:val="sk-SK"/>
        </w:rPr>
        <w:t>Lumen je hotový vnútorný náter založený na technológii termokeramickej membrány.</w:t>
      </w:r>
    </w:p>
    <w:p>
      <w:pPr>
        <w:pStyle w:val="Normal"/>
        <w:shd w:val="clear" w:color="auto" w:fill="808080" w:themeFill="background1" w:themeFillShade="80"/>
        <w:spacing w:before="160" w:after="160"/>
        <w:rPr>
          <w:rFonts w:ascii="Arial Narrow" w:hAnsi="Arial Narrow"/>
          <w:b/>
          <w:b/>
          <w:color w:val="FFFFFF" w:themeColor="background1"/>
          <w:sz w:val="18"/>
          <w:szCs w:val="18"/>
          <w:lang w:val="sk-SK"/>
        </w:rPr>
      </w:pPr>
      <w:r>
        <w:rPr>
          <w:rFonts w:ascii="Arial Narrow" w:hAnsi="Arial Narrow"/>
          <w:b/>
          <w:color w:val="FFFFFF" w:themeColor="background1"/>
          <w:sz w:val="18"/>
          <w:szCs w:val="18"/>
          <w:lang w:val="sk-SK"/>
        </w:rPr>
        <w:t xml:space="preserve">Prísady                   </w:t>
      </w:r>
    </w:p>
    <w:p>
      <w:pPr>
        <w:pStyle w:val="Telotextu"/>
        <w:spacing w:before="0" w:after="80"/>
        <w:ind w:left="0" w:right="57" w:hanging="0"/>
        <w:rPr>
          <w:color w:val="5E5E5E"/>
          <w:spacing w:val="-1"/>
          <w:lang w:val="sk-SK"/>
        </w:rPr>
      </w:pPr>
      <w:r>
        <w:rPr>
          <w:color w:val="5E5E5E"/>
          <w:spacing w:val="-1"/>
          <w:lang w:val="sk-SK"/>
        </w:rPr>
        <w:t>Polyakrylátová disperzia, oxid titaničitý, kaolín, uhličitan vápenatý, silikáty, voda, propylénglykol, celulóza, konzervačné látky</w:t>
      </w:r>
    </w:p>
    <w:p>
      <w:pPr>
        <w:pStyle w:val="Normal"/>
        <w:shd w:val="clear" w:color="auto" w:fill="808080" w:themeFill="background1" w:themeFillShade="80"/>
        <w:spacing w:before="160" w:after="160"/>
        <w:rPr>
          <w:rFonts w:ascii="Arial Narrow" w:hAnsi="Arial Narrow"/>
          <w:b/>
          <w:b/>
          <w:color w:val="FFFFFF" w:themeColor="background1"/>
          <w:sz w:val="18"/>
          <w:szCs w:val="18"/>
          <w:lang w:val="sk-SK"/>
        </w:rPr>
      </w:pPr>
      <w:r>
        <w:rPr>
          <w:rFonts w:ascii="Arial Narrow" w:hAnsi="Arial Narrow"/>
          <w:b/>
          <w:color w:val="FFFFFF" w:themeColor="background1"/>
          <w:sz w:val="18"/>
          <w:szCs w:val="18"/>
          <w:lang w:val="sk-SK"/>
        </w:rPr>
        <w:t>Skupina výrobkov / GIS kód</w:t>
      </w:r>
    </w:p>
    <w:p>
      <w:pPr>
        <w:pStyle w:val="Telotextu"/>
        <w:spacing w:before="0" w:after="80"/>
        <w:ind w:left="0" w:right="57" w:hanging="0"/>
        <w:rPr>
          <w:color w:val="5E5E5E"/>
          <w:lang w:val="sk-SK"/>
        </w:rPr>
      </w:pPr>
      <w:r>
        <w:rPr>
          <w:color w:val="5E5E5E"/>
          <w:lang w:val="sk-SK"/>
        </w:rPr>
        <w:t>BSW20</w:t>
      </w:r>
    </w:p>
    <w:p>
      <w:pPr>
        <w:pStyle w:val="Telotextu"/>
        <w:spacing w:before="0" w:after="80"/>
        <w:ind w:left="0" w:right="57" w:hanging="0"/>
        <w:rPr>
          <w:color w:val="5E5E5E"/>
          <w:lang w:val="sk-SK"/>
        </w:rPr>
      </w:pPr>
      <w:r>
        <w:rPr>
          <w:color w:val="5E5E5E"/>
          <w:lang w:val="sk-SK"/>
        </w:rPr>
        <w:t>Platia informácie uvedené v aktuálnom bezpečnostnom liste.</w:t>
      </w:r>
    </w:p>
    <w:p>
      <w:pPr>
        <w:pStyle w:val="Normal"/>
        <w:shd w:val="clear" w:color="auto" w:fill="808080" w:themeFill="background1" w:themeFillShade="80"/>
        <w:spacing w:before="160" w:after="160"/>
        <w:rPr>
          <w:rFonts w:ascii="Arial Narrow" w:hAnsi="Arial Narrow"/>
          <w:b/>
          <w:b/>
          <w:color w:val="FFFFFF" w:themeColor="background1"/>
          <w:sz w:val="18"/>
          <w:szCs w:val="18"/>
          <w:lang w:val="sk-SK"/>
        </w:rPr>
      </w:pPr>
      <w:r>
        <w:rPr>
          <w:rFonts w:ascii="Arial Narrow" w:hAnsi="Arial Narrow"/>
          <w:b/>
          <w:color w:val="FFFFFF" w:themeColor="background1"/>
          <w:sz w:val="18"/>
          <w:szCs w:val="18"/>
          <w:lang w:val="sk-SK"/>
        </w:rPr>
        <w:t xml:space="preserve">Rozsah            </w:t>
      </w:r>
    </w:p>
    <w:p>
      <w:pPr>
        <w:pStyle w:val="Telotextu"/>
        <w:spacing w:before="0" w:after="80"/>
        <w:ind w:left="0" w:right="57" w:hanging="0"/>
        <w:jc w:val="both"/>
        <w:rPr>
          <w:color w:val="5E5E5E"/>
          <w:lang w:val="sk-SK"/>
        </w:rPr>
      </w:pPr>
      <w:r>
        <w:rPr>
          <w:color w:val="5E5E5E"/>
          <w:lang w:val="sk-SK"/>
        </w:rPr>
        <w:t>Lumen je odolný interiérový náter pre takmer všetky vnútorné povrchy. Vďaka špeciálnemu zloženiu zaisťuje ThermoShield Lumen lepšie vyváženie jasu a vyšší svetelný výkon v miestnostiach, a to aj pri tmavých farbách.</w:t>
      </w:r>
    </w:p>
    <w:p>
      <w:pPr>
        <w:pStyle w:val="Normal"/>
        <w:shd w:val="clear" w:color="auto" w:fill="808080" w:themeFill="background1" w:themeFillShade="80"/>
        <w:spacing w:before="160" w:after="160"/>
        <w:rPr>
          <w:rFonts w:ascii="Arial Narrow" w:hAnsi="Arial Narrow"/>
          <w:b/>
          <w:b/>
          <w:color w:val="FFFFFF" w:themeColor="background1"/>
          <w:sz w:val="18"/>
          <w:szCs w:val="18"/>
          <w:lang w:val="sk-SK"/>
        </w:rPr>
      </w:pPr>
      <w:r>
        <w:rPr>
          <w:rFonts w:ascii="Arial Narrow" w:hAnsi="Arial Narrow"/>
          <w:b/>
          <w:color w:val="FFFFFF" w:themeColor="background1"/>
          <w:sz w:val="18"/>
          <w:szCs w:val="18"/>
          <w:lang w:val="sk-SK"/>
        </w:rPr>
        <w:t xml:space="preserve">Vlastnosti špecifické pre produkt           </w:t>
      </w:r>
    </w:p>
    <w:p>
      <w:pPr>
        <w:pStyle w:val="Telotextu"/>
        <w:spacing w:before="0" w:after="80"/>
        <w:ind w:left="0" w:right="57" w:hanging="0"/>
        <w:jc w:val="both"/>
        <w:rPr>
          <w:color w:val="5E5E5E"/>
          <w:lang w:val="sk-SK"/>
        </w:rPr>
      </w:pPr>
      <w:r>
        <w:rPr>
          <w:color w:val="5E5E5E"/>
          <w:lang w:val="sk-SK"/>
        </w:rPr>
        <w:t>Variabilne otvorené pre difúziu, bez plynov a rozpúšťadiel, zvyšuje odraz svetla a rozptyl, ma vysokú farebnú stálosť, pružný, tepelne upokojujúci, reguluje vlhkosť na sorpčných / difúzie schopných povrchoch.</w:t>
      </w:r>
    </w:p>
    <w:p>
      <w:pPr>
        <w:pStyle w:val="Telotextu"/>
        <w:spacing w:before="0" w:after="80"/>
        <w:ind w:left="0" w:right="57" w:hanging="0"/>
        <w:jc w:val="both"/>
        <w:rPr>
          <w:color w:val="5E5E5E"/>
          <w:lang w:val="sk-SK"/>
        </w:rPr>
      </w:pPr>
      <w:r>
        <w:rPr>
          <w:color w:val="5E5E5E"/>
          <w:lang w:val="sk-SK"/>
        </w:rPr>
        <w:t>Charakteristika</w:t>
      </w:r>
    </w:p>
    <w:p>
      <w:pPr>
        <w:pStyle w:val="Telotextu"/>
        <w:spacing w:before="0" w:after="80"/>
        <w:ind w:left="0" w:right="57" w:hanging="0"/>
        <w:jc w:val="both"/>
        <w:rPr/>
      </w:pPr>
      <w:r>
        <w:rPr>
          <w:color w:val="5E5E5E"/>
          <w:lang w:val="sk-SK"/>
        </w:rPr>
        <w:t>- Hodnoty sd podľa DIN 52615</w:t>
      </w:r>
    </w:p>
    <w:p>
      <w:pPr>
        <w:pStyle w:val="Telotextu"/>
        <w:spacing w:before="0" w:after="80"/>
        <w:ind w:left="0" w:right="57" w:hanging="0"/>
        <w:jc w:val="both"/>
        <w:rPr>
          <w:color w:val="5E5E5E"/>
          <w:lang w:val="sk-SK"/>
        </w:rPr>
      </w:pPr>
      <w:r>
        <w:rPr>
          <w:color w:val="5E5E5E"/>
          <w:lang w:val="sk-SK"/>
        </w:rPr>
        <w:t>- Suchá plocha: sd = 1,7</w:t>
      </w:r>
    </w:p>
    <w:p>
      <w:pPr>
        <w:pStyle w:val="Telotextu"/>
        <w:spacing w:before="0" w:after="80"/>
        <w:ind w:left="0" w:right="57" w:hanging="0"/>
        <w:jc w:val="both"/>
        <w:rPr/>
      </w:pPr>
      <w:r>
        <w:rPr>
          <w:color w:val="5E5E5E"/>
          <w:lang w:val="sk-SK"/>
        </w:rPr>
        <w:t>- Mokrá plocha: sd = 0,02</w:t>
      </w:r>
    </w:p>
    <w:p>
      <w:pPr>
        <w:pStyle w:val="Telotextu"/>
        <w:spacing w:before="0" w:after="80"/>
        <w:ind w:left="0" w:right="57" w:hanging="0"/>
        <w:jc w:val="both"/>
        <w:rPr>
          <w:color w:val="5E5E5E"/>
          <w:lang w:val="sk-SK"/>
        </w:rPr>
      </w:pPr>
      <w:r>
        <w:rPr>
          <w:color w:val="5E5E5E"/>
          <w:lang w:val="sk-SK"/>
        </w:rPr>
        <w:t>- Hustota: 1,14 kg / dm³ podľa ISO 2811-1</w:t>
      </w:r>
    </w:p>
    <w:p>
      <w:pPr>
        <w:pStyle w:val="Telotextu"/>
        <w:spacing w:before="0" w:after="80"/>
        <w:ind w:left="0" w:right="57" w:hanging="0"/>
        <w:jc w:val="both"/>
        <w:rPr>
          <w:color w:val="5E5E5E"/>
          <w:lang w:val="sk-SK"/>
        </w:rPr>
      </w:pPr>
      <w:r>
        <w:rPr>
          <w:color w:val="5E5E5E"/>
          <w:lang w:val="sk-SK"/>
        </w:rPr>
        <w:t>- Správanie sa pri požiari: B-s1, d0</w:t>
      </w:r>
    </w:p>
    <w:p>
      <w:pPr>
        <w:pStyle w:val="Telotextu"/>
        <w:spacing w:before="0" w:after="80"/>
        <w:ind w:left="0" w:right="57" w:hanging="0"/>
        <w:jc w:val="both"/>
        <w:rPr>
          <w:color w:val="5E5E5E"/>
          <w:lang w:val="sk-SK"/>
        </w:rPr>
      </w:pPr>
      <w:r>
        <w:rPr>
          <w:color w:val="5E5E5E"/>
          <w:lang w:val="sk-SK"/>
        </w:rPr>
        <w:t>- Chemická odolnosť: na požiadanie</w:t>
      </w:r>
    </w:p>
    <w:p>
      <w:pPr>
        <w:pStyle w:val="Telotextu"/>
        <w:spacing w:before="0" w:after="80"/>
        <w:ind w:left="0" w:right="57" w:hanging="0"/>
        <w:jc w:val="both"/>
        <w:rPr>
          <w:color w:val="5E5E5E"/>
          <w:lang w:val="sk-SK"/>
        </w:rPr>
      </w:pPr>
      <w:r>
        <w:rPr>
          <w:color w:val="5E5E5E"/>
          <w:lang w:val="sk-SK"/>
        </w:rPr>
        <w:t>- Stupeň lesku: 0,4 podľa DIN ISO 2813</w:t>
      </w:r>
    </w:p>
    <w:p>
      <w:pPr>
        <w:pStyle w:val="Telotextu"/>
        <w:spacing w:before="0" w:after="80"/>
        <w:ind w:left="0" w:right="57" w:hanging="0"/>
        <w:jc w:val="both"/>
        <w:rPr>
          <w:color w:val="5E5E5E"/>
          <w:lang w:val="sk-SK"/>
        </w:rPr>
      </w:pPr>
      <w:r>
        <w:rPr>
          <w:color w:val="5E5E5E"/>
          <w:lang w:val="sk-SK"/>
        </w:rPr>
        <w:t>- Odolnosť proti oteru za mokra: Trieda 3 podľa DIN-EN 13300</w:t>
      </w:r>
    </w:p>
    <w:p>
      <w:pPr>
        <w:pStyle w:val="Telotextu"/>
        <w:spacing w:before="0" w:after="80"/>
        <w:ind w:left="0" w:right="57" w:hanging="0"/>
        <w:jc w:val="both"/>
        <w:rPr>
          <w:color w:val="5E5E5E"/>
          <w:lang w:val="sk-SK"/>
        </w:rPr>
      </w:pPr>
      <w:r>
        <w:rPr>
          <w:color w:val="5E5E5E"/>
          <w:lang w:val="sk-SK"/>
        </w:rPr>
        <w:t>- Kontrastný pomer - Nepriehľadnosť: trieda 2 podľa DIN-EN 13300</w:t>
      </w:r>
    </w:p>
    <w:p>
      <w:pPr>
        <w:pStyle w:val="Telotextu"/>
        <w:spacing w:before="0" w:after="80"/>
        <w:ind w:left="0" w:right="57" w:hanging="0"/>
        <w:jc w:val="both"/>
        <w:rPr>
          <w:color w:val="5E5E5E"/>
          <w:lang w:val="sk-SK"/>
        </w:rPr>
      </w:pPr>
      <w:r>
        <w:rPr>
          <w:color w:val="5E5E5E"/>
          <w:lang w:val="sk-SK"/>
        </w:rPr>
        <w:t xml:space="preserve">- Emisivita: </w:t>
      </w:r>
      <w:r>
        <w:rPr>
          <w:rFonts w:cs="Calibri" w:ascii="Calibri" w:hAnsi="Calibri"/>
          <w:color w:val="5E5E5E"/>
          <w:lang w:val="sk-SK"/>
        </w:rPr>
        <w:t>Ʃ</w:t>
      </w:r>
      <w:r>
        <w:rPr>
          <w:color w:val="5E5E5E"/>
          <w:lang w:val="sk-SK"/>
        </w:rPr>
        <w:t xml:space="preserve"> = 0,55</w:t>
      </w:r>
    </w:p>
    <w:p>
      <w:pPr>
        <w:pStyle w:val="Normal"/>
        <w:shd w:val="clear" w:color="auto" w:fill="808080" w:themeFill="background1" w:themeFillShade="80"/>
        <w:spacing w:before="160" w:after="160"/>
        <w:rPr>
          <w:rFonts w:ascii="Arial Narrow" w:hAnsi="Arial Narrow"/>
          <w:b/>
          <w:b/>
          <w:color w:val="FFFFFF" w:themeColor="background1"/>
          <w:sz w:val="18"/>
          <w:szCs w:val="18"/>
          <w:lang w:val="sk-SK"/>
        </w:rPr>
      </w:pPr>
      <w:r>
        <w:rPr>
          <w:rFonts w:ascii="Arial Narrow" w:hAnsi="Arial Narrow"/>
          <w:b/>
          <w:color w:val="FFFFFF" w:themeColor="background1"/>
          <w:sz w:val="18"/>
          <w:szCs w:val="18"/>
          <w:shd w:fill="808080" w:val="clear"/>
          <w:lang w:val="sk-SK"/>
        </w:rPr>
        <w:t xml:space="preserve">Nariadenie VOC (EG)                         </w:t>
      </w:r>
    </w:p>
    <w:p>
      <w:pPr>
        <w:pStyle w:val="Telotextu"/>
        <w:spacing w:before="0" w:after="192"/>
        <w:ind w:left="0" w:right="57" w:hanging="0"/>
        <w:jc w:val="both"/>
        <w:rPr>
          <w:color w:val="5E5E5E"/>
          <w:lang w:val="sk-SK"/>
        </w:rPr>
      </w:pPr>
      <w:r>
        <w:rPr>
          <w:color w:val="5E5E5E"/>
          <w:lang w:val="sk-SK"/>
        </w:rPr>
        <w:t>Limit od 01.01.2010 pre matné náterové materiály (kategória výrobkov a) pre vnútorné steny a stropy = 30 g / l.</w:t>
      </w:r>
    </w:p>
    <w:p>
      <w:pPr>
        <w:pStyle w:val="Telotextu"/>
        <w:spacing w:before="0" w:after="192"/>
        <w:ind w:left="0" w:right="57" w:hanging="0"/>
        <w:jc w:val="both"/>
        <w:rPr>
          <w:color w:val="5E5E5E"/>
          <w:lang w:val="sk-SK"/>
        </w:rPr>
      </w:pPr>
      <w:r>
        <w:rPr>
          <w:color w:val="5E5E5E"/>
          <w:lang w:val="sk-SK"/>
        </w:rPr>
        <w:t>Tento produkt obsahuje &lt;3 g / l VOC.</w:t>
      </w:r>
    </w:p>
    <w:p>
      <w:pPr>
        <w:pStyle w:val="Normal"/>
        <w:shd w:val="clear" w:color="auto" w:fill="808080" w:themeFill="background1" w:themeFillShade="80"/>
        <w:spacing w:before="160" w:after="160"/>
        <w:rPr>
          <w:rFonts w:ascii="Arial Narrow" w:hAnsi="Arial Narrow"/>
          <w:b/>
          <w:b/>
          <w:color w:val="FFFFFF" w:themeColor="background1"/>
          <w:sz w:val="18"/>
          <w:szCs w:val="18"/>
          <w:lang w:val="sk-SK"/>
        </w:rPr>
      </w:pPr>
      <w:r>
        <w:rPr>
          <w:rFonts w:ascii="Arial Narrow" w:hAnsi="Arial Narrow"/>
          <w:b/>
          <w:color w:val="FFFFFF" w:themeColor="background1"/>
          <w:sz w:val="18"/>
          <w:szCs w:val="18"/>
          <w:lang w:val="sk-SK"/>
        </w:rPr>
        <w:t xml:space="preserve">Druh spracovania             </w:t>
      </w:r>
    </w:p>
    <w:p>
      <w:pPr>
        <w:pStyle w:val="Telotextu"/>
        <w:spacing w:before="0" w:after="80"/>
        <w:ind w:left="0" w:right="57" w:hanging="0"/>
        <w:jc w:val="both"/>
        <w:rPr>
          <w:color w:val="5E5E5E"/>
          <w:spacing w:val="-1"/>
          <w:lang w:val="sk-SK"/>
        </w:rPr>
      </w:pPr>
      <w:r>
        <w:rPr>
          <w:color w:val="5E5E5E"/>
          <w:spacing w:val="-1"/>
          <w:lang w:val="sk-SK"/>
        </w:rPr>
        <w:t>Lumen je možné aplikovať na všetky stabilné, čisté, suché, nehrdzavejúce a nemastné podklady, ako sú nové a staré omietky, tapety, kovy, plasty, syntetické vlákna a neporušené staré nátery. Aby sa zaručili energetické vlastnosti, musí sa zabezpečiť povrch, ktorý je otvorený pre difúziu.</w:t>
      </w:r>
    </w:p>
    <w:p>
      <w:pPr>
        <w:pStyle w:val="Normal"/>
        <w:shd w:val="clear" w:color="auto" w:fill="808080" w:themeFill="background1" w:themeFillShade="80"/>
        <w:spacing w:before="160" w:after="160"/>
        <w:rPr>
          <w:rFonts w:ascii="Arial Narrow" w:hAnsi="Arial Narrow"/>
          <w:b/>
          <w:b/>
          <w:color w:val="FFFFFF" w:themeColor="background1"/>
          <w:sz w:val="18"/>
          <w:szCs w:val="18"/>
          <w:lang w:val="sk-SK"/>
        </w:rPr>
      </w:pPr>
      <w:r>
        <w:rPr>
          <w:rFonts w:ascii="Arial Narrow" w:hAnsi="Arial Narrow"/>
          <w:b/>
          <w:color w:val="FFFFFF" w:themeColor="background1"/>
          <w:sz w:val="18"/>
          <w:szCs w:val="18"/>
          <w:lang w:val="sk-SK"/>
        </w:rPr>
        <w:t xml:space="preserve">Príprava povrchu          </w:t>
      </w:r>
    </w:p>
    <w:p>
      <w:pPr>
        <w:pStyle w:val="Telotextu"/>
        <w:spacing w:before="0" w:after="80"/>
        <w:ind w:left="0" w:right="57" w:hanging="0"/>
        <w:rPr>
          <w:color w:val="5E5E5E"/>
          <w:lang w:val="sk-SK"/>
        </w:rPr>
      </w:pPr>
      <w:r>
        <w:rPr>
          <w:color w:val="5E5E5E"/>
          <w:lang w:val="sk-SK"/>
        </w:rPr>
        <w:t>plast:</w:t>
      </w:r>
    </w:p>
    <w:p>
      <w:pPr>
        <w:pStyle w:val="Telotextu"/>
        <w:spacing w:before="0" w:after="80"/>
        <w:ind w:left="0" w:right="57" w:hanging="0"/>
        <w:rPr>
          <w:color w:val="5E5E5E"/>
          <w:lang w:val="sk-SK"/>
        </w:rPr>
      </w:pPr>
      <w:r>
        <w:rPr>
          <w:color w:val="5E5E5E"/>
          <w:lang w:val="sk-SK"/>
        </w:rPr>
        <w:t>skontrolovať priľnavosť povrchu</w:t>
      </w:r>
    </w:p>
    <w:p>
      <w:pPr>
        <w:pStyle w:val="Telotextu"/>
        <w:spacing w:before="0" w:after="80"/>
        <w:ind w:left="0" w:right="57" w:hanging="0"/>
        <w:rPr>
          <w:color w:val="5E5E5E"/>
          <w:lang w:val="sk-SK"/>
        </w:rPr>
      </w:pPr>
      <w:r>
        <w:rPr>
          <w:color w:val="5E5E5E"/>
          <w:lang w:val="sk-SK"/>
        </w:rPr>
        <w:t>kovy:</w:t>
      </w:r>
    </w:p>
    <w:p>
      <w:pPr>
        <w:pStyle w:val="Telotextu"/>
        <w:spacing w:before="0" w:after="80"/>
        <w:ind w:left="0" w:right="57" w:hanging="0"/>
        <w:rPr>
          <w:color w:val="5E5E5E"/>
          <w:lang w:val="sk-SK"/>
        </w:rPr>
      </w:pPr>
      <w:r>
        <w:rPr>
          <w:color w:val="5E5E5E"/>
          <w:lang w:val="sk-SK"/>
        </w:rPr>
        <w:t>V závislosti od kovu a náročnosti, základný náter pomocou RustPrimer alebo ZinkPrimer</w:t>
      </w:r>
    </w:p>
    <w:p>
      <w:pPr>
        <w:pStyle w:val="Telotextu"/>
        <w:spacing w:before="0" w:after="80"/>
        <w:ind w:left="0" w:right="57" w:hanging="0"/>
        <w:rPr>
          <w:color w:val="5E5E5E"/>
          <w:lang w:val="sk-SK"/>
        </w:rPr>
      </w:pPr>
      <w:r>
        <w:rPr>
          <w:color w:val="5E5E5E"/>
          <w:lang w:val="sk-SK"/>
        </w:rPr>
        <w:t>Neudržateľný starý náter:</w:t>
      </w:r>
    </w:p>
    <w:p>
      <w:pPr>
        <w:pStyle w:val="Telotextu"/>
        <w:spacing w:before="0" w:after="80"/>
        <w:ind w:left="0" w:right="57" w:hanging="0"/>
        <w:rPr>
          <w:color w:val="5E5E5E"/>
          <w:lang w:val="sk-SK"/>
        </w:rPr>
      </w:pPr>
      <w:r>
        <w:rPr>
          <w:color w:val="5E5E5E"/>
          <w:lang w:val="sk-SK"/>
        </w:rPr>
        <w:t>V závislosti od materiálu, ktorý sa má nanášať, umyte, morte alebo odstráňte pomocou vysokotlakových alebo parných čističov.</w:t>
      </w:r>
    </w:p>
    <w:p>
      <w:pPr>
        <w:pStyle w:val="Telotextu"/>
        <w:spacing w:before="0" w:after="80"/>
        <w:ind w:left="0" w:right="57" w:hanging="0"/>
        <w:rPr>
          <w:color w:val="5E5E5E"/>
          <w:lang w:val="sk-SK"/>
        </w:rPr>
      </w:pPr>
      <w:r>
        <w:rPr>
          <w:color w:val="5E5E5E"/>
          <w:lang w:val="sk-SK"/>
        </w:rPr>
        <w:t>Podklady s narušenou priľnavosťou:</w:t>
      </w:r>
    </w:p>
    <w:p>
      <w:pPr>
        <w:pStyle w:val="Telotextu"/>
        <w:spacing w:before="0" w:after="80"/>
        <w:ind w:left="0" w:right="57" w:hanging="0"/>
        <w:rPr>
          <w:color w:val="5E5E5E"/>
          <w:lang w:val="sk-SK"/>
        </w:rPr>
      </w:pPr>
      <w:r>
        <w:rPr>
          <w:color w:val="5E5E5E"/>
          <w:lang w:val="sk-SK"/>
        </w:rPr>
        <w:t>umyť, vylúhovať, vypieskovať</w:t>
      </w:r>
    </w:p>
    <w:p>
      <w:pPr>
        <w:pStyle w:val="Telotextu"/>
        <w:spacing w:before="0" w:after="80"/>
        <w:ind w:left="0" w:right="57" w:hanging="0"/>
        <w:rPr>
          <w:color w:val="5E5E5E"/>
          <w:lang w:val="sk-SK"/>
        </w:rPr>
      </w:pPr>
      <w:r>
        <w:rPr>
          <w:color w:val="5E5E5E"/>
          <w:lang w:val="sk-SK"/>
        </w:rPr>
        <w:t>Nasiakavé podklady:</w:t>
      </w:r>
    </w:p>
    <w:p>
      <w:pPr>
        <w:pStyle w:val="Telotextu"/>
        <w:spacing w:before="0" w:after="80"/>
        <w:ind w:left="0" w:right="57" w:hanging="8"/>
        <w:rPr>
          <w:color w:val="5E5E5E"/>
          <w:lang w:val="sk-SK"/>
        </w:rPr>
      </w:pPr>
      <w:r>
        <w:rPr>
          <w:color w:val="5E5E5E"/>
          <w:lang w:val="sk-SK"/>
        </w:rPr>
        <w:t>ošetrite pomocou FixPlus</w:t>
      </w:r>
    </w:p>
    <w:p>
      <w:pPr>
        <w:pStyle w:val="Normal"/>
        <w:shd w:val="clear" w:color="auto" w:fill="808080" w:themeFill="background1" w:themeFillShade="80"/>
        <w:spacing w:before="160" w:after="160"/>
        <w:rPr>
          <w:rFonts w:ascii="Arial Narrow" w:hAnsi="Arial Narrow"/>
          <w:b/>
          <w:b/>
          <w:color w:val="FFFFFF" w:themeColor="background1"/>
          <w:sz w:val="18"/>
          <w:szCs w:val="18"/>
          <w:lang w:val="sk-SK"/>
        </w:rPr>
      </w:pPr>
      <w:r>
        <w:rPr>
          <w:rFonts w:ascii="Arial Narrow" w:hAnsi="Arial Narrow"/>
          <w:b/>
          <w:color w:val="FFFFFF" w:themeColor="background1"/>
          <w:sz w:val="18"/>
          <w:szCs w:val="18"/>
          <w:lang w:val="sk-SK"/>
        </w:rPr>
        <w:t xml:space="preserve">Spracovanie                    </w:t>
      </w:r>
    </w:p>
    <w:p>
      <w:pPr>
        <w:pStyle w:val="Telotextu"/>
        <w:spacing w:before="0" w:after="80"/>
        <w:ind w:left="0" w:right="57" w:hanging="0"/>
        <w:jc w:val="both"/>
        <w:rPr>
          <w:color w:val="5E5E5E"/>
          <w:spacing w:val="-1"/>
          <w:lang w:val="sk-SK"/>
        </w:rPr>
      </w:pPr>
      <w:r>
        <w:rPr>
          <w:color w:val="5E5E5E"/>
          <w:spacing w:val="-1"/>
          <w:lang w:val="sk-SK"/>
        </w:rPr>
        <w:t>Spracovanie sa môže vykonať štetcom, valcovaním alebo striekaním. Na prvý náter sú potrebné dve vrstvy. Lumen je pripravený na spracovanie. Ak sa používajú striekacie zariadenia, musia sa dodržiavať pokyny výrobcu zariadenia. V prípade veľmi drsných podkladov alebo pri použití striekacích zariadení je možné upravovať konzistenciu spracovania malým množstvom vody. Pri spracovaní zabezpečte, aby teplota vzduchu a predmetov nebola nižšia ako 5°C. To platí aj pre celé obdobie sušenia. Pred použitím a po dlhých prestávkach v práci sa musí materiál krátko premiešať miešadlom.</w:t>
      </w:r>
    </w:p>
    <w:p>
      <w:pPr>
        <w:pStyle w:val="Telotextu"/>
        <w:spacing w:before="0" w:after="80"/>
        <w:ind w:left="0" w:right="57" w:hanging="0"/>
        <w:jc w:val="both"/>
        <w:rPr>
          <w:color w:val="5E5E5E"/>
          <w:spacing w:val="-1"/>
          <w:lang w:val="sk-SK"/>
        </w:rPr>
      </w:pPr>
      <w:r>
        <w:rPr>
          <w:color w:val="5E5E5E"/>
          <w:spacing w:val="-1"/>
          <w:lang w:val="sk-SK"/>
        </w:rPr>
        <w:t>Čas sušenia medzi jednotlivými krokmi náterov je 6 hodín.</w:t>
      </w:r>
    </w:p>
    <w:p>
      <w:pPr>
        <w:pStyle w:val="Normal"/>
        <w:shd w:val="clear" w:color="auto" w:fill="808080" w:themeFill="background1" w:themeFillShade="80"/>
        <w:spacing w:before="160" w:after="160"/>
        <w:rPr>
          <w:rFonts w:ascii="Arial Narrow" w:hAnsi="Arial Narrow"/>
          <w:b/>
          <w:b/>
          <w:color w:val="FFFFFF" w:themeColor="background1"/>
          <w:sz w:val="18"/>
          <w:szCs w:val="18"/>
          <w:lang w:val="sk-SK"/>
        </w:rPr>
      </w:pPr>
      <w:r>
        <w:rPr>
          <w:rFonts w:ascii="Arial Narrow" w:hAnsi="Arial Narrow"/>
          <w:b/>
          <w:color w:val="FFFFFF" w:themeColor="background1"/>
          <w:sz w:val="18"/>
          <w:szCs w:val="18"/>
          <w:lang w:val="sk-SK"/>
        </w:rPr>
        <w:t xml:space="preserve">Spotreba                 </w:t>
      </w:r>
    </w:p>
    <w:p>
      <w:pPr>
        <w:pStyle w:val="Telotextu"/>
        <w:spacing w:before="0" w:after="80"/>
        <w:ind w:left="0" w:right="57" w:hanging="0"/>
        <w:jc w:val="both"/>
        <w:rPr>
          <w:color w:val="5E5E5E"/>
          <w:lang w:val="sk-SK"/>
        </w:rPr>
      </w:pPr>
      <w:r>
        <w:rPr>
          <w:color w:val="5E5E5E"/>
          <w:lang w:val="sk-SK"/>
        </w:rPr>
        <w:t>Spotreba náteru Lumen je približne 330 ml / m² pre dve vrstvy na hladkých, málo absorbujúcich podkladoch.</w:t>
      </w:r>
    </w:p>
    <w:p>
      <w:pPr>
        <w:pStyle w:val="Telotextu"/>
        <w:spacing w:before="0" w:after="80"/>
        <w:ind w:left="0" w:right="57" w:hanging="0"/>
        <w:jc w:val="both"/>
        <w:rPr>
          <w:color w:val="5E5E5E"/>
          <w:lang w:val="sk-SK"/>
        </w:rPr>
      </w:pPr>
      <w:r>
        <w:rPr>
          <w:color w:val="5E5E5E"/>
          <w:lang w:val="sk-SK"/>
        </w:rPr>
        <w:t>Množstvo spotreby závisí od štruktúry a nasiakavosti povrchu a v prípade potreby sa môže určiť pomocou skúšobného náteru.</w:t>
      </w:r>
    </w:p>
    <w:p>
      <w:pPr>
        <w:pStyle w:val="Telotextu"/>
        <w:spacing w:before="0" w:after="80"/>
        <w:ind w:left="0" w:right="57" w:hanging="0"/>
        <w:jc w:val="both"/>
        <w:rPr>
          <w:color w:val="5E5E5E"/>
          <w:lang w:val="sk-SK"/>
        </w:rPr>
      </w:pPr>
      <w:r>
        <w:rPr>
          <w:color w:val="5E5E5E"/>
          <w:lang w:val="sk-SK"/>
        </w:rPr>
        <w:t>Na optimalizáciu energetickej účinnosti v letnej ochrane pred teplom, sú v závislosti od klímy a podkladu potrebne vyššie vrstvy hrúbky.</w:t>
      </w:r>
    </w:p>
    <w:p>
      <w:pPr>
        <w:pStyle w:val="Normal"/>
        <w:shd w:val="clear" w:color="auto" w:fill="808080" w:themeFill="background1" w:themeFillShade="80"/>
        <w:spacing w:before="160" w:after="160"/>
        <w:rPr>
          <w:rFonts w:ascii="Arial Narrow" w:hAnsi="Arial Narrow"/>
          <w:b/>
          <w:b/>
          <w:color w:val="FFFFFF" w:themeColor="background1"/>
          <w:sz w:val="18"/>
          <w:szCs w:val="18"/>
          <w:lang w:val="sk-SK"/>
        </w:rPr>
      </w:pPr>
      <w:r>
        <w:rPr>
          <w:rFonts w:ascii="Arial Narrow" w:hAnsi="Arial Narrow"/>
          <w:b/>
          <w:color w:val="FFFFFF" w:themeColor="background1"/>
          <w:sz w:val="18"/>
          <w:szCs w:val="18"/>
          <w:lang w:val="sk-SK"/>
        </w:rPr>
        <w:t xml:space="preserve">Čistenie náradia           </w:t>
      </w:r>
    </w:p>
    <w:p>
      <w:pPr>
        <w:pStyle w:val="Telotextu"/>
        <w:spacing w:before="0" w:after="80"/>
        <w:ind w:left="0" w:right="57" w:hanging="0"/>
        <w:jc w:val="both"/>
        <w:rPr>
          <w:color w:val="5E5E5E"/>
          <w:spacing w:val="-1"/>
          <w:lang w:val="sk-SK"/>
        </w:rPr>
      </w:pPr>
      <w:r>
        <w:rPr>
          <w:color w:val="5E5E5E"/>
          <w:spacing w:val="-1"/>
          <w:lang w:val="sk-SK"/>
        </w:rPr>
        <w:t>Ihneď po použití dôkladne vyčistite valčeky, štetce a striekacie pištole vodou.</w:t>
      </w:r>
    </w:p>
    <w:p>
      <w:pPr>
        <w:pStyle w:val="Normal"/>
        <w:shd w:val="clear" w:color="auto" w:fill="808080" w:themeFill="background1" w:themeFillShade="80"/>
        <w:spacing w:before="160" w:after="160"/>
        <w:rPr>
          <w:rFonts w:ascii="Arial Narrow" w:hAnsi="Arial Narrow"/>
          <w:b/>
          <w:b/>
          <w:color w:val="FFFFFF" w:themeColor="background1"/>
          <w:sz w:val="18"/>
          <w:szCs w:val="18"/>
          <w:lang w:val="sk-SK"/>
        </w:rPr>
      </w:pPr>
      <w:r>
        <w:rPr>
          <w:rFonts w:ascii="Arial Narrow" w:hAnsi="Arial Narrow"/>
          <w:b/>
          <w:color w:val="FFFFFF" w:themeColor="background1"/>
          <w:sz w:val="18"/>
          <w:szCs w:val="18"/>
          <w:lang w:val="sk-SK"/>
        </w:rPr>
        <w:t xml:space="preserve">Farby               </w:t>
      </w:r>
    </w:p>
    <w:p>
      <w:pPr>
        <w:pStyle w:val="Telotextu"/>
        <w:spacing w:before="0" w:after="80"/>
        <w:ind w:left="0" w:right="57" w:hanging="0"/>
        <w:jc w:val="both"/>
        <w:rPr>
          <w:bCs/>
          <w:color w:val="5E5E5E"/>
          <w:lang w:val="sk-SK"/>
        </w:rPr>
      </w:pPr>
      <w:r>
        <w:rPr>
          <w:bCs/>
          <w:color w:val="5E5E5E"/>
          <w:lang w:val="sk-SK"/>
        </w:rPr>
        <w:t>Lumen je možné zafarbiť vo farebných systémoch NCS, RAL a ThermoShield Edition 1.</w:t>
      </w:r>
    </w:p>
    <w:p>
      <w:pPr>
        <w:pStyle w:val="Telotextu"/>
        <w:spacing w:before="0" w:after="80"/>
        <w:ind w:left="0" w:right="57" w:hanging="0"/>
        <w:jc w:val="both"/>
        <w:rPr>
          <w:b/>
          <w:b/>
          <w:color w:val="5E5E5E"/>
          <w:lang w:val="sk-SK"/>
        </w:rPr>
      </w:pPr>
      <w:r>
        <w:rPr>
          <w:b/>
          <w:color w:val="5E5E5E"/>
          <w:lang w:val="sk-SK"/>
        </w:rPr>
        <w:t>Pred spracovaním sa musí skontrolovať farebný odtieň.</w:t>
      </w:r>
    </w:p>
    <w:p>
      <w:pPr>
        <w:pStyle w:val="Normal"/>
        <w:shd w:val="clear" w:color="auto" w:fill="808080" w:themeFill="background1" w:themeFillShade="80"/>
        <w:spacing w:before="160" w:after="160"/>
        <w:rPr>
          <w:rFonts w:ascii="Arial Narrow" w:hAnsi="Arial Narrow"/>
          <w:b/>
          <w:b/>
          <w:color w:val="FFFFFF" w:themeColor="background1"/>
          <w:sz w:val="18"/>
          <w:szCs w:val="18"/>
          <w:lang w:val="sk-SK"/>
        </w:rPr>
      </w:pPr>
      <w:r>
        <w:rPr>
          <w:rFonts w:ascii="Arial Narrow" w:hAnsi="Arial Narrow"/>
          <w:b/>
          <w:color w:val="FFFFFF" w:themeColor="background1"/>
          <w:sz w:val="18"/>
          <w:szCs w:val="18"/>
          <w:lang w:val="sk-SK"/>
        </w:rPr>
        <w:t xml:space="preserve">Skladovanie a preprava           </w:t>
      </w:r>
    </w:p>
    <w:p>
      <w:pPr>
        <w:pStyle w:val="Telotextu"/>
        <w:spacing w:before="0" w:after="80"/>
        <w:ind w:left="0" w:right="57" w:hanging="0"/>
        <w:jc w:val="both"/>
        <w:rPr/>
      </w:pPr>
      <w:r>
        <w:rPr>
          <w:color w:val="5E5E5E"/>
          <w:spacing w:val="-1"/>
          <w:lang w:val="sk-SK"/>
        </w:rPr>
        <w:t>Lumen skladujte a prepravujte na chladnom, ale nemrznúcom mieste. Otvorené nádoby dobre uzavrite a čo najskôr ich spracujte. Skladovateľnosť od dátumu výroby: 12 mesiacov.</w:t>
      </w:r>
    </w:p>
    <w:p>
      <w:pPr>
        <w:pStyle w:val="Normal"/>
        <w:shd w:val="clear" w:color="auto" w:fill="808080" w:themeFill="background1" w:themeFillShade="80"/>
        <w:spacing w:before="160" w:after="160"/>
        <w:rPr>
          <w:rFonts w:ascii="Arial Narrow" w:hAnsi="Arial Narrow"/>
          <w:b/>
          <w:b/>
          <w:color w:val="FFFFFF" w:themeColor="background1"/>
          <w:sz w:val="18"/>
          <w:szCs w:val="18"/>
          <w:lang w:val="sk-SK"/>
        </w:rPr>
      </w:pPr>
      <w:r>
        <w:rPr>
          <w:rFonts w:ascii="Arial Narrow" w:hAnsi="Arial Narrow"/>
          <w:b/>
          <w:color w:val="FFFFFF" w:themeColor="background1"/>
          <w:sz w:val="18"/>
          <w:szCs w:val="18"/>
          <w:lang w:val="sk-SK"/>
        </w:rPr>
        <w:t xml:space="preserve">Obal                                   </w:t>
      </w:r>
    </w:p>
    <w:p>
      <w:pPr>
        <w:pStyle w:val="Telotextu"/>
        <w:spacing w:lineRule="exact" w:line="183" w:before="0" w:after="80"/>
        <w:ind w:left="0" w:right="57" w:hanging="0"/>
        <w:jc w:val="both"/>
        <w:rPr>
          <w:color w:val="5E5E5E"/>
          <w:spacing w:val="-1"/>
          <w:lang w:val="sk-SK"/>
        </w:rPr>
      </w:pPr>
      <w:r>
        <w:rPr>
          <w:color w:val="5E5E5E"/>
          <w:spacing w:val="-1"/>
          <w:lang w:val="sk-SK"/>
        </w:rPr>
        <w:t>5; 12,5 litrov</w:t>
      </w:r>
    </w:p>
    <w:p>
      <w:pPr>
        <w:pStyle w:val="Telotextu"/>
        <w:spacing w:lineRule="exact" w:line="183" w:before="0" w:after="80"/>
        <w:ind w:left="0" w:right="57" w:hanging="0"/>
        <w:jc w:val="both"/>
        <w:rPr>
          <w:color w:val="5E5E5E"/>
          <w:spacing w:val="-1"/>
          <w:lang w:val="sk-SK"/>
        </w:rPr>
      </w:pPr>
      <w:r>
        <w:rPr>
          <w:color w:val="5E5E5E"/>
          <w:spacing w:val="-1"/>
          <w:lang w:val="sk-SK"/>
        </w:rPr>
        <w:t>Ďalšie veľkosti kontajnerov na požiadanie.</w:t>
      </w:r>
    </w:p>
    <w:p>
      <w:pPr>
        <w:pStyle w:val="Normal"/>
        <w:shd w:val="clear" w:color="auto" w:fill="808080" w:themeFill="background1" w:themeFillShade="80"/>
        <w:spacing w:before="160" w:after="160"/>
        <w:rPr>
          <w:rFonts w:ascii="Arial Narrow" w:hAnsi="Arial Narrow"/>
          <w:b/>
          <w:b/>
          <w:color w:val="FFFFFF" w:themeColor="background1"/>
          <w:sz w:val="18"/>
          <w:szCs w:val="18"/>
          <w:lang w:val="sk-SK"/>
        </w:rPr>
      </w:pPr>
      <w:r>
        <w:rPr>
          <w:rFonts w:ascii="Arial Narrow" w:hAnsi="Arial Narrow"/>
          <w:b/>
          <w:color w:val="FFFFFF" w:themeColor="background1"/>
          <w:sz w:val="18"/>
          <w:szCs w:val="18"/>
          <w:lang w:val="sk-SK"/>
        </w:rPr>
        <w:t xml:space="preserve">Likvidácia                   </w:t>
      </w:r>
    </w:p>
    <w:p>
      <w:pPr>
        <w:pStyle w:val="Telotextu"/>
        <w:spacing w:before="0" w:after="80"/>
        <w:ind w:left="0" w:right="57" w:hanging="0"/>
        <w:rPr>
          <w:color w:val="5E5E5E"/>
          <w:lang w:val="sk-SK"/>
        </w:rPr>
      </w:pPr>
      <w:r>
        <w:rPr>
          <w:color w:val="5E5E5E"/>
          <w:lang w:val="sk-SK"/>
        </w:rPr>
        <w:t>Zabráňte preniknutiu zvyškov produktu do kanalizácie, vodných tokov alebo pôdy.</w:t>
      </w:r>
    </w:p>
    <w:p>
      <w:pPr>
        <w:pStyle w:val="Telotextu"/>
        <w:spacing w:before="0" w:after="80"/>
        <w:ind w:left="0" w:right="57" w:hanging="0"/>
        <w:rPr>
          <w:color w:val="5E5E5E"/>
          <w:lang w:val="sk-SK"/>
        </w:rPr>
      </w:pPr>
      <w:r>
        <w:rPr>
          <w:color w:val="5E5E5E"/>
          <w:lang w:val="sk-SK"/>
        </w:rPr>
        <w:t>Prázdne nádoby dávajte iba na recykláciu. Zvyšky produktu odovzdajte na zodpovedných zberných miestach.</w:t>
      </w:r>
    </w:p>
    <w:p>
      <w:pPr>
        <w:pStyle w:val="Telotextu"/>
        <w:spacing w:before="0" w:after="80"/>
        <w:ind w:left="0" w:right="57" w:hanging="0"/>
        <w:rPr>
          <w:color w:val="5E5E5E"/>
          <w:lang w:val="sk-SK"/>
        </w:rPr>
      </w:pPr>
      <w:r>
        <w:rPr>
          <w:color w:val="5E5E5E"/>
          <w:lang w:val="sk-SK"/>
        </w:rPr>
        <w:t>Kód odpadu 080120 podľa zoznamu odpadu EÚ.</w:t>
      </w:r>
    </w:p>
    <w:p>
      <w:pPr>
        <w:pStyle w:val="Normal"/>
        <w:shd w:val="clear" w:color="auto" w:fill="808080" w:themeFill="background1" w:themeFillShade="80"/>
        <w:spacing w:before="160" w:after="160"/>
        <w:rPr>
          <w:rFonts w:ascii="Arial Narrow" w:hAnsi="Arial Narrow"/>
          <w:b/>
          <w:b/>
          <w:color w:val="FFFFFF" w:themeColor="background1"/>
          <w:sz w:val="18"/>
          <w:szCs w:val="18"/>
          <w:lang w:val="sk-SK"/>
        </w:rPr>
      </w:pPr>
      <w:r>
        <w:rPr>
          <w:rFonts w:ascii="Arial Narrow" w:hAnsi="Arial Narrow"/>
          <w:b/>
          <w:color w:val="FFFFFF" w:themeColor="background1"/>
          <w:sz w:val="18"/>
          <w:szCs w:val="18"/>
          <w:lang w:val="sk-SK"/>
        </w:rPr>
        <w:t xml:space="preserve">Zabezpečenia               </w:t>
      </w:r>
    </w:p>
    <w:p>
      <w:pPr>
        <w:pStyle w:val="Telotextu"/>
        <w:spacing w:before="0" w:after="80"/>
        <w:ind w:left="0" w:right="57" w:hanging="0"/>
        <w:jc w:val="both"/>
        <w:rPr>
          <w:color w:val="5E5E5E"/>
          <w:spacing w:val="-1"/>
          <w:lang w:val="sk-SK"/>
        </w:rPr>
      </w:pPr>
      <w:r>
        <w:rPr>
          <w:color w:val="5E5E5E"/>
          <w:spacing w:val="-1"/>
          <w:lang w:val="sk-SK"/>
        </w:rPr>
        <w:t>Obsah listu technických údajov nenaznačuje zmluvný právny vzťah.</w:t>
      </w:r>
    </w:p>
    <w:p>
      <w:pPr>
        <w:pStyle w:val="Telotextu"/>
        <w:spacing w:before="0" w:after="80"/>
        <w:ind w:left="0" w:right="57" w:hanging="0"/>
        <w:jc w:val="both"/>
        <w:rPr>
          <w:color w:val="5E5E5E"/>
          <w:spacing w:val="-1"/>
          <w:lang w:val="sk-SK"/>
        </w:rPr>
      </w:pPr>
      <w:r>
        <w:rPr>
          <w:color w:val="5E5E5E"/>
          <w:spacing w:val="-1"/>
          <w:lang w:val="sk-SK"/>
        </w:rPr>
        <w:t>Spracovateľ / kupujúci musí pred použitím v praktických podmienkach vždy skontrolovať použiteľnosť materiálu.</w:t>
      </w:r>
    </w:p>
    <w:p>
      <w:pPr>
        <w:pStyle w:val="Telotextu"/>
        <w:spacing w:before="0" w:after="80"/>
        <w:ind w:left="0" w:right="57" w:hanging="0"/>
        <w:jc w:val="both"/>
        <w:rPr>
          <w:color w:val="5E5E5E"/>
          <w:spacing w:val="-1"/>
          <w:lang w:val="sk-SK"/>
        </w:rPr>
      </w:pPr>
      <w:r>
        <w:rPr>
          <w:color w:val="5E5E5E"/>
          <w:spacing w:val="-1"/>
          <w:lang w:val="sk-SK"/>
        </w:rPr>
        <w:t>Zabráňte vniknutiu do kanalizácie, vodných tokov alebo pôdy. Uchovávajte mimo dosahu potravín, nápojov a krmív. Chráňte pred prístupom detí. Oblasti, ktoré sa nemajú ošetriť, musia byť chránené vhodnými opatreniami. Chráňte oči a pokožku pred postriekaním. Nevdychujte sprejovú hmlu, ktorá sa môže vyskytnúť pri spracovaní striekaním. Vydaním nového technického listu z dôvodu vylepšenia produktu sa uvedené informácie stávajú neplatnými. Informácie poskytla spoločnosť SICC Coatings GmbH bol stanovený v laboratóriu a praxi ako smerné hodnoty. Informácie o produkte sú poskytované podľa našich najlepších vedomostí a zodpovedajú súčasnému technickému stavu . Vplyvy prostredia, materiály, aplikačné vybavenie a aplikačné techniky sú mimo náš vplyv, a preto mimo našu zodpovednosť. SICC © 2019</w:t>
      </w:r>
    </w:p>
    <w:p>
      <w:pPr>
        <w:pStyle w:val="Telotextu"/>
        <w:spacing w:before="0" w:after="80"/>
        <w:ind w:left="0" w:right="57" w:hanging="0"/>
        <w:jc w:val="both"/>
        <w:rPr>
          <w:color w:val="5E5E5E"/>
          <w:spacing w:val="-1"/>
          <w:lang w:val="sk-SK"/>
        </w:rPr>
      </w:pPr>
      <w:r>
        <w:rPr>
          <w:color w:val="5E5E5E"/>
          <w:spacing w:val="-1"/>
          <w:lang w:val="sk-SK"/>
        </w:rPr>
      </w:r>
    </w:p>
    <w:p>
      <w:pPr>
        <w:pStyle w:val="Telotextu"/>
        <w:spacing w:before="0" w:after="80"/>
        <w:ind w:left="0" w:right="57" w:hanging="0"/>
        <w:jc w:val="both"/>
        <w:rPr>
          <w:b/>
          <w:b/>
          <w:bCs/>
        </w:rPr>
      </w:pPr>
      <w:r>
        <w:rPr>
          <w:b/>
          <w:bCs/>
          <w:color w:val="5E5E5E"/>
          <w:spacing w:val="-1"/>
          <w:lang w:val="sk-SK"/>
        </w:rPr>
        <w:t>Výrobca:</w:t>
      </w:r>
    </w:p>
    <w:p>
      <w:pPr>
        <w:pStyle w:val="Telotextu"/>
        <w:spacing w:before="0" w:after="80"/>
        <w:ind w:left="0" w:right="57" w:hanging="0"/>
        <w:jc w:val="both"/>
        <w:rPr/>
      </w:pPr>
      <w:r>
        <w:rPr>
          <w:color w:val="5E5E5E"/>
          <w:spacing w:val="-1"/>
          <w:lang w:val="sk-SK"/>
        </w:rPr>
        <w:t>Od: 04/2018</w:t>
      </w:r>
    </w:p>
    <w:p>
      <w:pPr>
        <w:pStyle w:val="Telotextu"/>
        <w:spacing w:before="0" w:after="80"/>
        <w:ind w:left="0" w:right="57" w:hanging="0"/>
        <w:jc w:val="both"/>
        <w:rPr/>
      </w:pPr>
      <w:r>
        <w:rPr>
          <w:color w:val="5E5E5E"/>
          <w:spacing w:val="-1"/>
          <w:lang w:val="sk-SK"/>
        </w:rPr>
        <w:t>SICC Coatings GmbH</w:t>
      </w:r>
    </w:p>
    <w:p>
      <w:pPr>
        <w:pStyle w:val="Telotextu"/>
        <w:spacing w:before="0" w:after="80"/>
        <w:ind w:left="0" w:right="57" w:hanging="0"/>
        <w:jc w:val="both"/>
        <w:rPr/>
      </w:pPr>
      <w:r>
        <w:rPr>
          <w:color w:val="5E5E5E"/>
          <w:spacing w:val="-1"/>
          <w:lang w:val="sk-SK"/>
        </w:rPr>
        <w:t>13156 Berlín / Nemecko</w:t>
      </w:r>
    </w:p>
    <w:p>
      <w:pPr>
        <w:pStyle w:val="Telotextu"/>
        <w:spacing w:before="0" w:after="80"/>
        <w:ind w:left="0" w:right="57" w:hanging="0"/>
        <w:jc w:val="both"/>
        <w:rPr/>
      </w:pPr>
      <w:r>
        <w:rPr>
          <w:color w:val="5E5E5E"/>
          <w:spacing w:val="-1"/>
          <w:lang w:val="sk-SK"/>
        </w:rPr>
        <w:t>Wackenbergstrasse 78-82</w:t>
      </w:r>
    </w:p>
    <w:p>
      <w:pPr>
        <w:pStyle w:val="Telotextu"/>
        <w:spacing w:before="0" w:after="80"/>
        <w:ind w:left="0" w:right="57" w:hanging="0"/>
        <w:jc w:val="both"/>
        <w:rPr/>
      </w:pPr>
      <w:r>
        <w:rPr>
          <w:color w:val="5E5E5E"/>
          <w:spacing w:val="-1"/>
          <w:lang w:val="sk-SK"/>
        </w:rPr>
        <w:t>Tel .: +49 (0) 30 500 19 6-0</w:t>
      </w:r>
    </w:p>
    <w:p>
      <w:pPr>
        <w:pStyle w:val="Telotextu"/>
        <w:spacing w:before="0" w:after="80"/>
        <w:ind w:left="0" w:right="57" w:hanging="0"/>
        <w:jc w:val="both"/>
        <w:rPr/>
      </w:pPr>
      <w:r>
        <w:rPr>
          <w:color w:val="5E5E5E"/>
          <w:spacing w:val="-1"/>
          <w:lang w:val="sk-SK"/>
        </w:rPr>
        <w:t>Fax: +49. (0) 30 500 19 6-20</w:t>
      </w:r>
    </w:p>
    <w:p>
      <w:pPr>
        <w:pStyle w:val="Telotextu"/>
        <w:spacing w:before="0" w:after="80"/>
        <w:ind w:left="0" w:right="57" w:hanging="0"/>
        <w:jc w:val="both"/>
        <w:rPr/>
      </w:pPr>
      <w:r>
        <w:rPr>
          <w:color w:val="5E5E5E"/>
          <w:spacing w:val="-1"/>
          <w:lang w:val="sk-SK"/>
        </w:rPr>
        <w:t>E-mail: info@sicc.de</w:t>
      </w:r>
    </w:p>
    <w:p>
      <w:pPr>
        <w:pStyle w:val="Telotextu"/>
        <w:spacing w:before="0" w:after="80"/>
        <w:ind w:left="0" w:right="57" w:hanging="0"/>
        <w:jc w:val="both"/>
        <w:rPr/>
      </w:pPr>
      <w:hyperlink r:id="rId2">
        <w:r>
          <w:rPr>
            <w:rStyle w:val="Internetovodkaz"/>
            <w:spacing w:val="-1"/>
            <w:lang w:val="sk-SK"/>
          </w:rPr>
          <w:t>www.sicc-coatings.com</w:t>
        </w:r>
      </w:hyperlink>
    </w:p>
    <w:p>
      <w:pPr>
        <w:pStyle w:val="Telotextu"/>
        <w:spacing w:before="0" w:after="80"/>
        <w:ind w:left="0" w:right="57" w:hanging="0"/>
        <w:jc w:val="both"/>
        <w:rPr>
          <w:color w:val="5E5E5E"/>
          <w:spacing w:val="-1"/>
          <w:lang w:val="sk-SK"/>
        </w:rPr>
      </w:pPr>
      <w:r>
        <w:rPr>
          <w:color w:val="5E5E5E"/>
          <w:spacing w:val="-1"/>
          <w:lang w:val="sk-SK"/>
        </w:rPr>
      </w:r>
    </w:p>
    <w:p>
      <w:pPr>
        <w:pStyle w:val="Telotextu"/>
        <w:spacing w:before="0" w:after="80"/>
        <w:ind w:left="0" w:right="57" w:hanging="0"/>
        <w:jc w:val="both"/>
        <w:rPr>
          <w:b/>
          <w:b/>
          <w:bCs/>
        </w:rPr>
      </w:pPr>
      <w:r>
        <w:rPr>
          <w:b/>
          <w:bCs/>
          <w:color w:val="5E5E5E"/>
          <w:spacing w:val="-1"/>
          <w:lang w:val="sk-SK"/>
        </w:rPr>
        <w:t>Predajca:</w:t>
      </w:r>
    </w:p>
    <w:p>
      <w:pPr>
        <w:pStyle w:val="Telotextu"/>
        <w:spacing w:before="0" w:after="80"/>
        <w:ind w:left="0" w:right="57" w:hanging="0"/>
        <w:jc w:val="both"/>
        <w:rPr/>
      </w:pPr>
      <w:r>
        <w:rPr>
          <w:color w:val="5E5E5E"/>
          <w:spacing w:val="-1"/>
          <w:lang w:val="sk-SK"/>
        </w:rPr>
        <w:t>HFR, s.r.o.</w:t>
      </w:r>
    </w:p>
    <w:p>
      <w:pPr>
        <w:pStyle w:val="Telotextu"/>
        <w:spacing w:before="0" w:after="80"/>
        <w:ind w:left="0" w:right="57" w:hanging="0"/>
        <w:jc w:val="both"/>
        <w:rPr/>
      </w:pPr>
      <w:r>
        <w:rPr>
          <w:color w:val="5E5E5E"/>
          <w:spacing w:val="-1"/>
          <w:lang w:val="sk-SK"/>
        </w:rPr>
        <w:t>Dolné Rudiny 1</w:t>
      </w:r>
    </w:p>
    <w:p>
      <w:pPr>
        <w:pStyle w:val="Telotextu"/>
        <w:spacing w:before="0" w:after="80"/>
        <w:ind w:left="0" w:right="57" w:hanging="0"/>
        <w:jc w:val="both"/>
        <w:rPr/>
      </w:pPr>
      <w:r>
        <w:rPr>
          <w:color w:val="5E5E5E"/>
          <w:spacing w:val="-1"/>
          <w:lang w:val="sk-SK"/>
        </w:rPr>
        <w:t>010 01 Žilina, Slovensko</w:t>
      </w:r>
    </w:p>
    <w:p>
      <w:pPr>
        <w:pStyle w:val="Telotextu"/>
        <w:spacing w:before="0" w:after="80"/>
        <w:ind w:left="0" w:right="57" w:hanging="0"/>
        <w:jc w:val="both"/>
        <w:rPr/>
      </w:pPr>
      <w:r>
        <w:rPr>
          <w:color w:val="5E5E5E"/>
          <w:spacing w:val="-1"/>
          <w:lang w:val="sk-SK"/>
        </w:rPr>
        <w:t>tel.: +421 903 805121</w:t>
      </w:r>
    </w:p>
    <w:p>
      <w:pPr>
        <w:pStyle w:val="Telotextu"/>
        <w:spacing w:before="0" w:after="80"/>
        <w:ind w:left="0" w:right="57" w:hanging="0"/>
        <w:jc w:val="both"/>
        <w:rPr/>
      </w:pPr>
      <w:r>
        <w:rPr>
          <w:color w:val="5E5E5E"/>
          <w:spacing w:val="-1"/>
          <w:lang w:val="sk-SK"/>
        </w:rPr>
        <w:t xml:space="preserve">e-mail: </w:t>
      </w:r>
      <w:hyperlink r:id="rId4">
        <w:r>
          <w:rPr>
            <w:rStyle w:val="Internetovodkaz"/>
            <w:color w:val="5E5E5E"/>
            <w:spacing w:val="-1"/>
            <w:lang w:val="sk-SK"/>
          </w:rPr>
          <w:t>info@hfr.sk</w:t>
        </w:r>
      </w:hyperlink>
    </w:p>
    <w:p>
      <w:pPr>
        <w:pStyle w:val="Telotextu"/>
        <w:spacing w:before="0" w:after="80"/>
        <w:ind w:left="0" w:right="57" w:hanging="0"/>
        <w:jc w:val="both"/>
        <w:rPr>
          <w:color w:val="5E5E5E"/>
          <w:spacing w:val="-1"/>
          <w:lang w:val="sk-SK"/>
        </w:rPr>
      </w:pPr>
      <w:r>
        <w:rPr>
          <w:color w:val="5E5E5E"/>
          <w:spacing w:val="-1"/>
          <w:lang w:val="sk-SK"/>
        </w:rPr>
        <w:t>http://www.</w:t>
      </w:r>
      <w:r>
        <w:rPr>
          <w:color w:val="5E5E5E"/>
          <w:spacing w:val="-1"/>
          <w:lang w:val="sk-SK"/>
        </w:rPr>
        <w:t>climatecoating</w:t>
      </w:r>
      <w:r>
        <w:rPr>
          <w:color w:val="5E5E5E"/>
          <w:spacing w:val="-1"/>
          <w:lang w:val="sk-SK"/>
        </w:rPr>
        <w:t>.sk/</w:t>
      </w:r>
    </w:p>
    <w:p>
      <w:pPr>
        <w:pStyle w:val="Telotextu"/>
        <w:spacing w:before="0" w:after="80"/>
        <w:ind w:left="0" w:right="57" w:hanging="0"/>
        <w:jc w:val="both"/>
        <w:rPr/>
      </w:pPr>
      <w:r>
        <w:rPr>
          <w:color w:val="5E5E5E"/>
          <w:spacing w:val="-1"/>
          <w:lang w:val="sk-SK"/>
        </w:rPr>
        <w:t>http://www.thermoshield.sk/</w:t>
      </w:r>
    </w:p>
    <w:p>
      <w:pPr>
        <w:pStyle w:val="Telotextu"/>
        <w:spacing w:before="0" w:after="80"/>
        <w:ind w:left="0" w:right="57" w:hanging="0"/>
        <w:jc w:val="both"/>
        <w:rPr/>
      </w:pPr>
      <w:r>
        <w:rPr>
          <w:color w:val="5E5E5E"/>
          <w:spacing w:val="-1"/>
          <w:lang w:val="sk-SK"/>
        </w:rPr>
        <w:t>https://www.hfr-ts.com/</w:t>
      </w:r>
    </w:p>
    <w:p>
      <w:pPr>
        <w:pStyle w:val="Telotextu"/>
        <w:spacing w:before="0" w:after="80"/>
        <w:ind w:left="0" w:right="57" w:hanging="0"/>
        <w:jc w:val="both"/>
        <w:rPr/>
      </w:pPr>
      <w:r>
        <w:rPr>
          <w:color w:val="5E5E5E"/>
          <w:spacing w:val="-1"/>
          <w:lang w:val="sk-SK"/>
        </w:rPr>
        <w:t xml:space="preserve">http://www.zdrave-byvanie.com/ </w:t>
      </w:r>
    </w:p>
    <w:p>
      <w:pPr>
        <w:pStyle w:val="Telotextu"/>
        <w:spacing w:before="0" w:after="80"/>
        <w:ind w:left="0" w:right="57" w:hanging="0"/>
        <w:rPr/>
      </w:pPr>
      <w:r>
        <w:rPr/>
      </w:r>
    </w:p>
    <w:sectPr>
      <w:headerReference w:type="default" r:id="rId5"/>
      <w:footerReference w:type="default" r:id="rId6"/>
      <w:type w:val="continuous"/>
      <w:pgSz w:w="11906" w:h="16838"/>
      <w:pgMar w:left="1021" w:right="1021" w:gutter="0" w:header="709" w:top="1418" w:footer="709" w:bottom="851"/>
      <w:cols w:num="3" w:equalWidth="false" w:sep="false">
        <w:col w:w="3145" w:space="284"/>
        <w:col w:w="3003" w:space="284"/>
        <w:col w:w="3147"/>
      </w:cols>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Narrow">
    <w:charset w:val="01"/>
    <w:family w:val="roman"/>
    <w:pitch w:val="variable"/>
  </w:font>
  <w:font w:name="Segoe UI">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ta"/>
      <w:jc w:val="right"/>
      <w:rPr>
        <w:rFonts w:ascii="Arial Narrow" w:hAnsi="Arial Narrow" w:cs="Arial"/>
        <w:color w:val="F2F2F2" w:themeColor="background1" w:themeShade="f2"/>
        <w:sz w:val="20"/>
        <w:szCs w:val="20"/>
      </w:rPr>
    </w:pPr>
    <w:r>
      <w:rPr>
        <w:rFonts w:cs="Arial" w:ascii="Arial Narrow" w:hAnsi="Arial Narrow"/>
        <w:color w:val="F2F2F2" w:themeColor="background1" w:themeShade="f2"/>
        <w:sz w:val="20"/>
        <w:szCs w:val="20"/>
      </w:rPr>
    </w:r>
  </w:p>
  <w:p>
    <w:pPr>
      <w:pStyle w:val="Pta"/>
      <w:shd w:val="clear" w:color="auto" w:fill="3B3838" w:themeFill="background2" w:themeFillShade="40"/>
      <w:jc w:val="right"/>
      <w:rPr>
        <w:rFonts w:ascii="Arial Narrow" w:hAnsi="Arial Narrow" w:cs="Arial"/>
        <w:color w:val="F2F2F2" w:themeColor="background1" w:themeShade="f2"/>
        <w:sz w:val="20"/>
        <w:szCs w:val="20"/>
      </w:rPr>
    </w:pPr>
    <w:r>
      <w:rPr>
        <w:rFonts w:cs="Arial" w:ascii="Arial Narrow" w:hAnsi="Arial Narrow"/>
        <w:color w:val="F2F2F2" w:themeColor="background1" w:themeShade="f2"/>
        <w:sz w:val="20"/>
        <w:szCs w:val="20"/>
      </w:rPr>
      <w:t xml:space="preserve">TM Lumen | Stand 14.04.2020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ie"/>
      <w:rPr>
        <w:rFonts w:ascii="Arial Narrow" w:hAnsi="Arial Narrow" w:cs="Arial"/>
        <w:b/>
        <w:b/>
        <w:sz w:val="24"/>
        <w:szCs w:val="24"/>
      </w:rPr>
    </w:pPr>
    <w:r>
      <w:rPr/>
      <w:drawing>
        <wp:inline distT="0" distB="0" distL="0" distR="0">
          <wp:extent cx="6263640" cy="1043940"/>
          <wp:effectExtent l="0" t="0" r="0" b="0"/>
          <wp:docPr id="1" name="Grafik 1"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Screenshot enthält.&#10;&#10;Automatisch generierte Beschreibung"/>
                  <pic:cNvPicPr>
                    <a:picLocks noChangeAspect="1" noChangeArrowheads="1"/>
                  </pic:cNvPicPr>
                </pic:nvPicPr>
                <pic:blipFill>
                  <a:blip r:embed="rId1"/>
                  <a:stretch>
                    <a:fillRect/>
                  </a:stretch>
                </pic:blipFill>
                <pic:spPr bwMode="auto">
                  <a:xfrm>
                    <a:off x="0" y="0"/>
                    <a:ext cx="6263640" cy="1043940"/>
                  </a:xfrm>
                  <a:prstGeom prst="rect">
                    <a:avLst/>
                  </a:prstGeom>
                </pic:spPr>
              </pic:pic>
            </a:graphicData>
          </a:graphic>
        </wp:inline>
      </w:drawing>
    </w:r>
  </w:p>
  <w:p>
    <w:pPr>
      <w:pStyle w:val="Zhlavie"/>
      <w:rPr>
        <w:rFonts w:ascii="Arial Narrow" w:hAnsi="Arial Narrow" w:cs="Arial"/>
        <w:b/>
        <w:b/>
        <w:color w:val="262626" w:themeColor="text1" w:themeTint="d9"/>
        <w:sz w:val="36"/>
        <w:szCs w:val="36"/>
      </w:rPr>
    </w:pPr>
    <w:r>
      <w:rPr>
        <w:rFonts w:cs="Arial" w:ascii="Arial Narrow" w:hAnsi="Arial Narrow"/>
        <w:b/>
        <w:color w:val="262626" w:themeColor="text1" w:themeTint="d9"/>
        <w:sz w:val="36"/>
        <w:szCs w:val="36"/>
      </w:rPr>
    </w:r>
  </w:p>
  <w:p>
    <w:pPr>
      <w:pStyle w:val="Zhlavie"/>
      <w:rPr>
        <w:rFonts w:ascii="Arial Narrow" w:hAnsi="Arial Narrow" w:cs="Arial"/>
        <w:b/>
        <w:b/>
        <w:color w:val="D42726"/>
        <w:sz w:val="36"/>
        <w:szCs w:val="36"/>
      </w:rPr>
    </w:pPr>
    <w:r>
      <w:rPr>
        <w:rFonts w:cs="Arial" w:ascii="Arial Narrow" w:hAnsi="Arial Narrow"/>
        <w:b/>
        <w:color w:val="262626" w:themeColor="text1" w:themeTint="d9"/>
        <w:sz w:val="24"/>
        <w:szCs w:val="24"/>
        <w:lang w:val="ru-RU"/>
      </w:rPr>
      <w:t>Technický list:</w:t>
    </w:r>
    <w:r>
      <w:rPr>
        <w:rFonts w:cs="Arial" w:ascii="Arial Narrow" w:hAnsi="Arial Narrow"/>
        <w:b/>
        <w:color w:val="262626" w:themeColor="text1" w:themeTint="d9"/>
        <w:sz w:val="36"/>
        <w:szCs w:val="36"/>
        <w:lang w:val="ru-RU"/>
      </w:rPr>
      <w:t xml:space="preserve"> </w:t>
    </w:r>
    <w:r>
      <w:rPr>
        <w:rFonts w:cs="Arial" w:ascii="Arial Narrow" w:hAnsi="Arial Narrow"/>
        <w:b/>
        <w:color w:val="D42726"/>
        <w:sz w:val="36"/>
        <w:szCs w:val="36"/>
      </w:rPr>
      <w:t>Lumen</w:t>
    </w:r>
  </w:p>
  <w:p>
    <w:pPr>
      <w:pStyle w:val="Zhlavie"/>
      <w:rPr>
        <w:rFonts w:ascii="Arial Narrow" w:hAnsi="Arial Narrow" w:cs="Arial"/>
        <w:b/>
        <w:b/>
        <w:color w:val="FF0000"/>
        <w:sz w:val="36"/>
        <w:szCs w:val="36"/>
        <w:lang w:val="ru-RU"/>
      </w:rPr>
    </w:pPr>
    <w:r>
      <w:rPr>
        <w:rFonts w:cs="Arial" w:ascii="Arial Narrow" w:hAnsi="Arial Narrow"/>
        <w:b/>
        <w:color w:val="FF0000"/>
        <w:sz w:val="36"/>
        <w:szCs w:val="36"/>
        <w:lang w:val="ru-RU"/>
      </w:rPr>
    </w:r>
  </w:p>
</w:hdr>
</file>

<file path=word/settings.xml><?xml version="1.0" encoding="utf-8"?>
<w:settings xmlns:w="http://schemas.openxmlformats.org/wordprocessingml/2006/main">
  <w:zoom w:percent="2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de-DE" w:eastAsia="" w:bidi="he-I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Cs w:val="22"/>
        <w:lang w:val="de-DE"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false"/>
      <w:bidi w:val="0"/>
      <w:spacing w:lineRule="auto" w:line="259" w:before="0" w:after="160"/>
      <w:jc w:val="left"/>
    </w:pPr>
    <w:rPr>
      <w:rFonts w:ascii="Calibri" w:hAnsi="Calibri" w:eastAsia="Calibri" w:cs="Arial" w:asciiTheme="minorHAnsi" w:cstheme="minorBidi" w:eastAsiaTheme="minorHAnsi" w:hAnsiTheme="minorHAnsi"/>
      <w:color w:val="auto"/>
      <w:kern w:val="0"/>
      <w:sz w:val="22"/>
      <w:szCs w:val="22"/>
      <w:lang w:val="de-DE" w:eastAsia="en-US" w:bidi="ar-SA"/>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uiPriority w:val="99"/>
    <w:qFormat/>
    <w:rsid w:val="00236d9d"/>
    <w:rPr/>
  </w:style>
  <w:style w:type="character" w:styleId="FuzeileZchn" w:customStyle="1">
    <w:name w:val="Fußzeile Zchn"/>
    <w:basedOn w:val="DefaultParagraphFont"/>
    <w:uiPriority w:val="99"/>
    <w:qFormat/>
    <w:rsid w:val="00236d9d"/>
    <w:rPr/>
  </w:style>
  <w:style w:type="character" w:styleId="TextkrperZchn" w:customStyle="1">
    <w:name w:val="Textkörper Zchn"/>
    <w:basedOn w:val="DefaultParagraphFont"/>
    <w:uiPriority w:val="1"/>
    <w:qFormat/>
    <w:rsid w:val="00236d9d"/>
    <w:rPr>
      <w:rFonts w:ascii="Arial Narrow" w:hAnsi="Arial Narrow" w:eastAsia="Arial Narrow"/>
      <w:sz w:val="16"/>
      <w:szCs w:val="16"/>
      <w:lang w:val="en-US"/>
    </w:rPr>
  </w:style>
  <w:style w:type="character" w:styleId="Internetovodkaz">
    <w:name w:val="Internetový odkaz"/>
    <w:basedOn w:val="DefaultParagraphFont"/>
    <w:uiPriority w:val="99"/>
    <w:unhideWhenUsed/>
    <w:rsid w:val="005e1672"/>
    <w:rPr>
      <w:color w:val="0563C1" w:themeColor="hyperlink"/>
      <w:u w:val="single"/>
    </w:rPr>
  </w:style>
  <w:style w:type="character" w:styleId="UnresolvedMention">
    <w:name w:val="Unresolved Mention"/>
    <w:basedOn w:val="DefaultParagraphFont"/>
    <w:uiPriority w:val="99"/>
    <w:semiHidden/>
    <w:unhideWhenUsed/>
    <w:qFormat/>
    <w:rsid w:val="005e1672"/>
    <w:rPr>
      <w:color w:val="808080"/>
      <w:shd w:fill="E6E6E6" w:val="clear"/>
    </w:rPr>
  </w:style>
  <w:style w:type="character" w:styleId="SprechblasentextZchn" w:customStyle="1">
    <w:name w:val="Sprechblasentext Zchn"/>
    <w:basedOn w:val="DefaultParagraphFont"/>
    <w:uiPriority w:val="99"/>
    <w:semiHidden/>
    <w:qFormat/>
    <w:rsid w:val="00c913e4"/>
    <w:rPr>
      <w:rFonts w:ascii="Segoe UI" w:hAnsi="Segoe UI" w:cs="Segoe UI"/>
      <w:sz w:val="18"/>
      <w:szCs w:val="18"/>
    </w:rPr>
  </w:style>
  <w:style w:type="paragraph" w:styleId="Nadpis">
    <w:name w:val="Nadpis"/>
    <w:basedOn w:val="Normal"/>
    <w:next w:val="Telotextu"/>
    <w:qFormat/>
    <w:pPr>
      <w:keepNext w:val="true"/>
      <w:spacing w:before="240" w:after="120"/>
    </w:pPr>
    <w:rPr>
      <w:rFonts w:ascii="Liberation Sans" w:hAnsi="Liberation Sans" w:eastAsia="Noto Sans CJK SC" w:cs="Lohit Devanagari"/>
      <w:sz w:val="28"/>
      <w:szCs w:val="28"/>
    </w:rPr>
  </w:style>
  <w:style w:type="paragraph" w:styleId="Telotextu">
    <w:name w:val="Body Text"/>
    <w:basedOn w:val="Normal"/>
    <w:link w:val="TextkrperZchn"/>
    <w:uiPriority w:val="1"/>
    <w:qFormat/>
    <w:rsid w:val="00236d9d"/>
    <w:pPr>
      <w:widowControl w:val="false"/>
      <w:spacing w:lineRule="auto" w:line="240" w:before="0" w:after="0"/>
      <w:ind w:left="125" w:hanging="0"/>
    </w:pPr>
    <w:rPr>
      <w:rFonts w:ascii="Arial Narrow" w:hAnsi="Arial Narrow" w:eastAsia="Arial Narrow"/>
      <w:sz w:val="16"/>
      <w:szCs w:val="16"/>
      <w:lang w:val="en-US"/>
    </w:rPr>
  </w:style>
  <w:style w:type="paragraph" w:styleId="Zoznam">
    <w:name w:val="List"/>
    <w:basedOn w:val="Telotextu"/>
    <w:pPr/>
    <w:rPr>
      <w:rFonts w:cs="Lohit Devanagari"/>
    </w:rPr>
  </w:style>
  <w:style w:type="paragraph" w:styleId="Popis">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lavikaapta">
    <w:name w:val="Hlavička a päta"/>
    <w:basedOn w:val="Normal"/>
    <w:qFormat/>
    <w:pPr/>
    <w:rPr/>
  </w:style>
  <w:style w:type="paragraph" w:styleId="Zhlavie">
    <w:name w:val="Header"/>
    <w:basedOn w:val="Normal"/>
    <w:link w:val="KopfzeileZchn"/>
    <w:uiPriority w:val="99"/>
    <w:unhideWhenUsed/>
    <w:rsid w:val="00236d9d"/>
    <w:pPr>
      <w:tabs>
        <w:tab w:val="clear" w:pos="708"/>
        <w:tab w:val="center" w:pos="4536" w:leader="none"/>
        <w:tab w:val="right" w:pos="9072" w:leader="none"/>
      </w:tabs>
      <w:spacing w:lineRule="auto" w:line="240" w:before="0" w:after="0"/>
    </w:pPr>
    <w:rPr/>
  </w:style>
  <w:style w:type="paragraph" w:styleId="Pta">
    <w:name w:val="Footer"/>
    <w:basedOn w:val="Normal"/>
    <w:link w:val="FuzeileZchn"/>
    <w:uiPriority w:val="99"/>
    <w:unhideWhenUsed/>
    <w:rsid w:val="00236d9d"/>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c913e4"/>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icc-coatings.com/" TargetMode="External"/><Relationship Id="rId3" Type="http://schemas.openxmlformats.org/officeDocument/2006/relationships/hyperlink" Target="mailto:info@hfr.sk" TargetMode="External"/><Relationship Id="rId4" Type="http://schemas.openxmlformats.org/officeDocument/2006/relationships/hyperlink" Target=""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34707-26BD-4832-9CC3-415D03EC8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Application>LibreOffice/7.3.7.2$Linux_X86_64 LibreOffice_project/30$Build-2</Application>
  <AppVersion>15.0000</AppVersion>
  <DocSecurity>0</DocSecurity>
  <Pages>2</Pages>
  <Words>741</Words>
  <Characters>4496</Characters>
  <CharactersWithSpaces>5387</CharactersWithSpaces>
  <Paragraphs>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2020-06-18T13:38:00Z</dcterms:created>
  <dc:creator>Sprenger</dc:creator>
  <dc:description/>
  <dc:language>sk-SK</dc:language>
  <cp:lastModifiedBy/>
  <cp:lastPrinted>2019-10-31T10:14:00Z</cp:lastPrinted>
  <dcterms:modified xsi:type="dcterms:W3CDTF">2023-04-07T06:38:34Z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